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2" w:hanging="1900"/>
        <w:jc w:val="left"/>
        <w:spacing w:line="360" w:lineRule="auto"/>
        <w:tabs>
          <w:tab w:val="left" w:pos="3240" w:leader="none"/>
          <w:tab w:val="left" w:pos="3420" w:leader="none"/>
        </w:tabs>
        <w:rPr>
          <w:rFonts w:hint="eastAsia" w:ascii="宋体" w:hAnsi="宋体" w:eastAsia="宋体"/>
          <w:bCs/>
          <w:sz w:val="36"/>
          <w:szCs w:val="36"/>
          <w:lang w:eastAsia="zh-CN"/>
        </w:rPr>
      </w:pPr>
      <w:r>
        <w:rPr>
          <w:rFonts w:ascii="宋体" w:hAnsi="宋体"/>
          <w:bCs/>
          <w:sz w:val="36"/>
          <w:szCs w:val="36"/>
        </w:rPr>
        <w:t xml:space="preserve">项目名称：</w:t>
      </w:r>
      <w:r>
        <w:rPr>
          <w:rFonts w:hint="eastAsia" w:ascii="宋体" w:hAnsi="宋体"/>
          <w:bCs/>
          <w:sz w:val="36"/>
          <w:szCs w:val="36"/>
          <w:lang w:eastAsia="zh-CN"/>
        </w:rPr>
        <w:t xml:space="preserve">常州市发改委政府冻猪肉储备项目</w:t>
      </w:r>
      <w:r>
        <w:rPr>
          <w:rFonts w:hint="eastAsia" w:ascii="宋体" w:hAnsi="宋体" w:eastAsia="宋体"/>
          <w:bCs/>
          <w:sz w:val="36"/>
          <w:szCs w:val="36"/>
          <w:lang w:eastAsia="zh-CN"/>
        </w:rPr>
      </w:r>
      <w:r/>
    </w:p>
    <w:p>
      <w:pPr>
        <w:pStyle w:val="1070"/>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JSZC-320400-CTZB-G2025-0353</w:t>
      </w:r>
      <w:r>
        <w:rPr>
          <w:rFonts w:ascii="宋体" w:hAnsi="宋体"/>
          <w:bCs/>
          <w:sz w:val="36"/>
          <w:szCs w:val="36"/>
        </w:rPr>
      </w:r>
      <w:r/>
    </w:p>
    <w:p>
      <w:pPr>
        <w:pStyle w:val="1070"/>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常州市发展和改革委员会</w:t>
      </w:r>
      <w:r>
        <w:rPr>
          <w:rFonts w:ascii="宋体" w:hAnsi="宋体"/>
          <w:bCs/>
          <w:sz w:val="36"/>
          <w:szCs w:val="36"/>
        </w:rPr>
      </w:r>
      <w:r/>
    </w:p>
    <w:p>
      <w:pPr>
        <w:pStyle w:val="1070"/>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0"/>
        <w:rPr>
          <w:rFonts w:ascii="宋体" w:hAnsi="宋体"/>
        </w:rPr>
      </w:pPr>
      <w:r>
        <w:rPr>
          <w:rFonts w:ascii="宋体" w:hAnsi="宋体"/>
        </w:rPr>
      </w:r>
      <w:r/>
    </w:p>
    <w:p>
      <w:pPr>
        <w:pStyle w:val="1070"/>
        <w:rPr>
          <w:rFonts w:ascii="宋体" w:hAnsi="宋体"/>
        </w:rPr>
      </w:pPr>
      <w:r>
        <w:rPr>
          <w:rFonts w:ascii="宋体" w:hAnsi="宋体"/>
        </w:rPr>
      </w:r>
      <w:r/>
    </w:p>
    <w:p>
      <w:pPr>
        <w:pStyle w:val="1070"/>
        <w:rPr>
          <w:rFonts w:ascii="宋体" w:hAnsi="宋体"/>
        </w:rPr>
      </w:pPr>
      <w:r>
        <w:rPr>
          <w:rFonts w:ascii="宋体" w:hAnsi="宋体"/>
        </w:rPr>
      </w:r>
      <w:r/>
    </w:p>
    <w:p>
      <w:pPr>
        <w:pStyle w:val="1125"/>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6"/>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6"/>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6"/>
          <w:sz w:val="32"/>
          <w:szCs w:val="32"/>
        </w:rPr>
        <w:t xml:space="preserve">第三章   资</w:t>
      </w:r>
      <w:bookmarkStart w:id="1" w:name="_Hlt100754117"/>
      <w:r>
        <w:rPr>
          <w:rStyle w:val="1146"/>
          <w:sz w:val="32"/>
          <w:szCs w:val="32"/>
        </w:rPr>
        <w:t xml:space="preserve">格</w:t>
      </w:r>
      <w:bookmarkEnd w:id="1"/>
      <w:r>
        <w:rPr>
          <w:rStyle w:val="1146"/>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6"/>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6"/>
          <w:sz w:val="32"/>
          <w:szCs w:val="32"/>
        </w:rPr>
        <w:t xml:space="preserve">第五章   采购</w:t>
      </w:r>
      <w:bookmarkStart w:id="2" w:name="_Hlt100754102"/>
      <w:r/>
      <w:bookmarkStart w:id="3" w:name="_Hlt100754103"/>
      <w:r>
        <w:rPr>
          <w:rStyle w:val="1146"/>
          <w:sz w:val="32"/>
          <w:szCs w:val="32"/>
        </w:rPr>
        <w:t xml:space="preserve">需</w:t>
      </w:r>
      <w:bookmarkEnd w:id="2"/>
      <w:r/>
      <w:bookmarkEnd w:id="3"/>
      <w:r>
        <w:rPr>
          <w:rStyle w:val="1146"/>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6"/>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6"/>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5"/>
        <w:spacing w:line="720" w:lineRule="auto"/>
        <w:tabs>
          <w:tab w:val="left" w:pos="1050" w:leader="none"/>
          <w:tab w:val="right" w:pos="8937" w:leader="dot"/>
        </w:tabs>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lang w:eastAsia="zh-CN"/>
        </w:rPr>
        <w:t xml:space="preserve">常州市发改委政府冻猪肉储备项目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19</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 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2"/>
        <w:ind w:firstLine="643"/>
        <w:jc w:val="left"/>
        <w:spacing w:before="240" w:line="360" w:lineRule="auto"/>
        <w:rPr>
          <w:rFonts w:ascii="仿宋" w:hAnsi="仿宋" w:eastAsia="仿宋"/>
          <w:color w:val="000000"/>
          <w:sz w:val="32"/>
          <w:szCs w:val="32"/>
        </w:rPr>
      </w:pPr>
      <w:r/>
      <w:bookmarkStart w:id="5" w:name="_Toc35393790"/>
      <w:r/>
      <w:bookmarkStart w:id="6" w:name="_Toc28359002"/>
      <w:r/>
      <w:bookmarkStart w:id="7" w:name="_Toc35393621"/>
      <w:r/>
      <w:bookmarkStart w:id="8" w:name="_Toc28359079"/>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JSZC-320400-CTZB-G2025-0353</w:t>
      </w:r>
      <w:r>
        <w:rPr>
          <w:rFonts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lang w:eastAsia="zh-CN"/>
        </w:rPr>
      </w:pPr>
      <w:r>
        <w:rPr>
          <w:rFonts w:ascii="仿宋" w:hAnsi="仿宋" w:eastAsia="仿宋"/>
          <w:color w:val="000000"/>
          <w:sz w:val="32"/>
          <w:szCs w:val="32"/>
        </w:rPr>
        <w:t xml:space="preserve">2.项目名称：</w:t>
      </w:r>
      <w:r>
        <w:rPr>
          <w:rFonts w:hint="eastAsia" w:ascii="仿宋" w:hAnsi="仿宋" w:eastAsia="仿宋"/>
          <w:color w:val="000000"/>
          <w:sz w:val="32"/>
          <w:szCs w:val="32"/>
          <w:lang w:eastAsia="zh-CN"/>
        </w:rPr>
        <w:t xml:space="preserve">常州市发改委政府冻猪肉储备项目</w:t>
      </w:r>
      <w:r>
        <w:rPr>
          <w:rFonts w:hint="eastAsia" w:ascii="仿宋" w:hAnsi="仿宋" w:eastAsia="仿宋"/>
          <w:color w:val="000000"/>
          <w:sz w:val="32"/>
          <w:szCs w:val="32"/>
          <w:lang w:eastAsia="zh-CN"/>
        </w:rPr>
      </w:r>
      <w:r/>
    </w:p>
    <w:p>
      <w:pPr>
        <w:pStyle w:val="1070"/>
        <w:ind w:firstLine="640"/>
        <w:spacing w:line="360" w:lineRule="auto"/>
        <w:rPr>
          <w:rFonts w:hint="eastAsia" w:ascii="仿宋" w:hAnsi="仿宋" w:eastAsia="仿宋"/>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lang w:val="en-US" w:eastAsia="zh-CN"/>
        </w:rPr>
        <w:t xml:space="preserve">320万元</w:t>
      </w:r>
      <w:r>
        <w:rPr>
          <w:rFonts w:hint="eastAsia" w:ascii="仿宋" w:hAnsi="仿宋" w:eastAsia="仿宋"/>
          <w:color w:val="000000"/>
          <w:sz w:val="32"/>
          <w:szCs w:val="32"/>
        </w:rPr>
        <w:t xml:space="preserve">（160万元/年</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val="en-US" w:eastAsia="zh-CN"/>
        </w:rPr>
        <w:t xml:space="preserve">其中</w:t>
      </w:r>
      <w:r>
        <w:rPr>
          <w:rFonts w:hint="eastAsia" w:ascii="仿宋" w:hAnsi="仿宋" w:eastAsia="仿宋"/>
          <w:color w:val="000000"/>
          <w:sz w:val="32"/>
          <w:szCs w:val="32"/>
        </w:rPr>
        <w:t xml:space="preserve">采购包1：60万元</w:t>
      </w:r>
      <w:r>
        <w:rPr>
          <w:rFonts w:hint="eastAsia" w:ascii="仿宋" w:hAnsi="仿宋" w:eastAsia="仿宋"/>
          <w:color w:val="000000"/>
          <w:sz w:val="32"/>
          <w:szCs w:val="32"/>
          <w:lang w:val="en-US" w:eastAsia="zh-CN"/>
        </w:rPr>
        <w:t xml:space="preserve">/年</w:t>
      </w:r>
      <w:r>
        <w:rPr>
          <w:rFonts w:hint="eastAsia" w:ascii="仿宋" w:hAnsi="仿宋" w:eastAsia="仿宋"/>
          <w:color w:val="000000"/>
          <w:sz w:val="32"/>
          <w:szCs w:val="32"/>
        </w:rPr>
        <w:t xml:space="preserve">；采购包2：60万元</w:t>
      </w:r>
      <w:r>
        <w:rPr>
          <w:rFonts w:hint="eastAsia" w:ascii="仿宋" w:hAnsi="仿宋" w:eastAsia="仿宋"/>
          <w:color w:val="000000"/>
          <w:sz w:val="32"/>
          <w:szCs w:val="32"/>
          <w:lang w:val="en-US" w:eastAsia="zh-CN"/>
        </w:rPr>
        <w:t xml:space="preserve">/年</w:t>
      </w:r>
      <w:r>
        <w:rPr>
          <w:rFonts w:hint="eastAsia" w:ascii="仿宋" w:hAnsi="仿宋" w:eastAsia="仿宋"/>
          <w:color w:val="000000"/>
          <w:sz w:val="32"/>
          <w:szCs w:val="32"/>
        </w:rPr>
        <w:t xml:space="preserve">；采购包3：40万元</w:t>
      </w:r>
      <w:r>
        <w:rPr>
          <w:rFonts w:hint="eastAsia" w:ascii="仿宋" w:hAnsi="仿宋" w:eastAsia="仿宋"/>
          <w:color w:val="000000"/>
          <w:sz w:val="32"/>
          <w:szCs w:val="32"/>
          <w:lang w:val="en-US" w:eastAsia="zh-CN"/>
        </w:rPr>
        <w:t xml:space="preserve">/年</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w:t>
      </w:r>
      <w:r>
        <w:rPr>
          <w:rFonts w:hint="eastAsia" w:ascii="仿宋" w:hAnsi="仿宋" w:eastAsia="仿宋"/>
          <w:color w:val="000000"/>
          <w:sz w:val="32"/>
          <w:szCs w:val="32"/>
          <w:lang w:val="en-US" w:eastAsia="zh-CN"/>
        </w:rPr>
        <w:t xml:space="preserve">320万元</w:t>
      </w:r>
      <w:r>
        <w:rPr>
          <w:rFonts w:hint="eastAsia" w:ascii="仿宋" w:hAnsi="仿宋" w:eastAsia="仿宋"/>
          <w:color w:val="000000"/>
          <w:sz w:val="32"/>
          <w:szCs w:val="32"/>
        </w:rPr>
        <w:t xml:space="preserve">（160万元/年</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val="en-US" w:eastAsia="zh-CN"/>
        </w:rPr>
        <w:t xml:space="preserve">其中</w:t>
      </w:r>
      <w:r>
        <w:rPr>
          <w:rFonts w:hint="eastAsia" w:ascii="仿宋" w:hAnsi="仿宋" w:eastAsia="仿宋"/>
          <w:color w:val="000000"/>
          <w:sz w:val="32"/>
          <w:szCs w:val="32"/>
        </w:rPr>
        <w:t xml:space="preserve">采购包1：60万元</w:t>
      </w:r>
      <w:r>
        <w:rPr>
          <w:rFonts w:hint="eastAsia" w:ascii="仿宋" w:hAnsi="仿宋" w:eastAsia="仿宋"/>
          <w:color w:val="000000"/>
          <w:sz w:val="32"/>
          <w:szCs w:val="32"/>
          <w:lang w:val="en-US" w:eastAsia="zh-CN"/>
        </w:rPr>
        <w:t xml:space="preserve">/年</w:t>
      </w:r>
      <w:r>
        <w:rPr>
          <w:rFonts w:hint="eastAsia" w:ascii="仿宋" w:hAnsi="仿宋" w:eastAsia="仿宋"/>
          <w:color w:val="000000"/>
          <w:sz w:val="32"/>
          <w:szCs w:val="32"/>
        </w:rPr>
        <w:t xml:space="preserve">；采购包2：60万元</w:t>
      </w:r>
      <w:r>
        <w:rPr>
          <w:rFonts w:hint="eastAsia" w:ascii="仿宋" w:hAnsi="仿宋" w:eastAsia="仿宋"/>
          <w:color w:val="000000"/>
          <w:sz w:val="32"/>
          <w:szCs w:val="32"/>
          <w:lang w:val="en-US" w:eastAsia="zh-CN"/>
        </w:rPr>
        <w:t xml:space="preserve">/年</w:t>
      </w:r>
      <w:r>
        <w:rPr>
          <w:rFonts w:hint="eastAsia" w:ascii="仿宋" w:hAnsi="仿宋" w:eastAsia="仿宋"/>
          <w:color w:val="000000"/>
          <w:sz w:val="32"/>
          <w:szCs w:val="32"/>
        </w:rPr>
        <w:t xml:space="preserve">；采购包3：40万元</w:t>
      </w:r>
      <w:r>
        <w:rPr>
          <w:rFonts w:hint="eastAsia" w:ascii="仿宋" w:hAnsi="仿宋" w:eastAsia="仿宋"/>
          <w:color w:val="000000"/>
          <w:sz w:val="32"/>
          <w:szCs w:val="32"/>
          <w:lang w:val="en-US" w:eastAsia="zh-CN"/>
        </w:rPr>
        <w:t xml:space="preserve">/年</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140"/>
        <w:gridCol w:w="2095"/>
        <w:gridCol w:w="4256"/>
      </w:tblGrid>
      <w:tr>
        <w:trPr>
          <w:trHeight w:val="454"/>
        </w:trPr>
        <w:tc>
          <w:tcPr>
            <w:tcW w:w="427"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1152"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1128"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0"/>
              <w:jc w:val="center"/>
              <w:rPr>
                <w:rFonts w:ascii="仿宋" w:hAnsi="仿宋" w:eastAsia="仿宋"/>
                <w:bCs/>
                <w:sz w:val="32"/>
                <w:szCs w:val="32"/>
              </w:rPr>
            </w:pPr>
            <w:r>
              <w:rPr>
                <w:rFonts w:ascii="仿宋" w:hAnsi="仿宋" w:eastAsia="仿宋"/>
                <w:bCs/>
                <w:sz w:val="32"/>
                <w:szCs w:val="32"/>
              </w:rPr>
              <w:t xml:space="preserve">（万元</w:t>
            </w:r>
            <w:r>
              <w:rPr>
                <w:rFonts w:hint="eastAsia" w:ascii="仿宋" w:hAnsi="仿宋" w:eastAsia="仿宋"/>
                <w:bCs/>
                <w:sz w:val="32"/>
                <w:szCs w:val="32"/>
                <w:lang w:val="en-US" w:eastAsia="zh-CN"/>
              </w:rPr>
              <w:t xml:space="preserve">/年</w:t>
            </w:r>
            <w:r>
              <w:rPr>
                <w:rFonts w:ascii="仿宋" w:hAnsi="仿宋" w:eastAsia="仿宋"/>
                <w:bCs/>
                <w:sz w:val="32"/>
                <w:szCs w:val="32"/>
              </w:rPr>
              <w:t xml:space="preserve">）</w:t>
            </w:r>
            <w:r>
              <w:rPr>
                <w:rFonts w:ascii="仿宋" w:hAnsi="仿宋" w:eastAsia="仿宋"/>
                <w:bCs/>
                <w:sz w:val="32"/>
                <w:szCs w:val="32"/>
              </w:rPr>
            </w:r>
            <w:r/>
          </w:p>
        </w:tc>
        <w:tc>
          <w:tcPr>
            <w:tcW w:w="2291" w:type="dxa"/>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908"/>
        </w:trPr>
        <w:tc>
          <w:tcPr>
            <w:tcW w:w="427"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1152" w:type="dxa"/>
            <w:vAlign w:val="center"/>
            <w:textDirection w:val="lrTb"/>
            <w:noWrap w:val="false"/>
          </w:tcPr>
          <w:p>
            <w:pPr>
              <w:pStyle w:val="1070"/>
              <w:jc w:val="center"/>
              <w:rPr>
                <w:rFonts w:ascii="仿宋" w:hAnsi="仿宋" w:eastAsia="仿宋" w:cs="Times New Roman"/>
                <w:bCs/>
                <w:color w:val="000000"/>
                <w:sz w:val="32"/>
                <w:szCs w:val="32"/>
              </w:rPr>
            </w:pPr>
            <w:r>
              <w:rPr>
                <w:rFonts w:ascii="仿宋" w:hAnsi="仿宋" w:eastAsia="仿宋" w:cs="Times New Roman"/>
                <w:bCs/>
                <w:color w:val="000000"/>
                <w:sz w:val="32"/>
                <w:szCs w:val="32"/>
              </w:rPr>
              <w:t xml:space="preserve">猪肉储备总量</w:t>
            </w:r>
            <w:r>
              <w:rPr>
                <w:rFonts w:hint="eastAsia" w:ascii="仿宋" w:hAnsi="仿宋" w:eastAsia="仿宋" w:cs="Times New Roman"/>
                <w:bCs/>
                <w:color w:val="000000"/>
                <w:sz w:val="32"/>
                <w:szCs w:val="32"/>
              </w:rPr>
              <w:t xml:space="preserve">3</w:t>
            </w:r>
            <w:r>
              <w:rPr>
                <w:rFonts w:hint="eastAsia" w:ascii="仿宋" w:hAnsi="仿宋" w:eastAsia="仿宋" w:cs="Times New Roman"/>
                <w:bCs/>
                <w:color w:val="000000"/>
                <w:sz w:val="32"/>
                <w:szCs w:val="32"/>
                <w:lang w:val="en-US" w:eastAsia="zh-CN"/>
              </w:rPr>
              <w:t xml:space="preserve">0</w:t>
            </w:r>
            <w:r>
              <w:rPr>
                <w:rFonts w:ascii="仿宋" w:hAnsi="仿宋" w:eastAsia="仿宋" w:cs="Times New Roman"/>
                <w:bCs/>
                <w:color w:val="000000"/>
                <w:sz w:val="32"/>
                <w:szCs w:val="32"/>
              </w:rPr>
              <w:t xml:space="preserve">0吨</w:t>
            </w:r>
            <w:r>
              <w:rPr>
                <w:rFonts w:ascii="仿宋" w:hAnsi="仿宋" w:eastAsia="仿宋" w:cs="Times New Roman"/>
                <w:bCs/>
                <w:color w:val="000000"/>
                <w:sz w:val="32"/>
                <w:szCs w:val="32"/>
              </w:rPr>
            </w:r>
            <w:r/>
          </w:p>
        </w:tc>
        <w:tc>
          <w:tcPr>
            <w:tcW w:w="1128" w:type="dxa"/>
            <w:vAlign w:val="center"/>
            <w:textDirection w:val="lrTb"/>
            <w:noWrap w:val="false"/>
          </w:tcPr>
          <w:p>
            <w:pPr>
              <w:pStyle w:val="1070"/>
              <w:jc w:val="center"/>
              <w:rPr>
                <w:rFonts w:ascii="仿宋" w:hAnsi="仿宋" w:eastAsia="仿宋" w:cs="Times New Roman"/>
                <w:bCs/>
                <w:color w:val="000000"/>
                <w:sz w:val="32"/>
                <w:szCs w:val="32"/>
                <w:lang w:val="en-US" w:eastAsia="zh-CN"/>
              </w:rPr>
            </w:pPr>
            <w:r>
              <w:rPr>
                <w:rFonts w:hint="eastAsia" w:ascii="仿宋" w:hAnsi="仿宋" w:eastAsia="仿宋" w:cs="Times New Roman"/>
                <w:bCs/>
                <w:color w:val="000000"/>
                <w:sz w:val="32"/>
                <w:szCs w:val="32"/>
                <w:lang w:val="en-US" w:eastAsia="zh-CN"/>
              </w:rPr>
              <w:t xml:space="preserve">60</w:t>
            </w:r>
            <w:r>
              <w:rPr>
                <w:rFonts w:ascii="仿宋" w:hAnsi="仿宋" w:eastAsia="仿宋" w:cs="Times New Roman"/>
                <w:bCs/>
                <w:color w:val="000000"/>
                <w:sz w:val="32"/>
                <w:szCs w:val="32"/>
                <w:lang w:val="en-US" w:eastAsia="zh-CN"/>
              </w:rPr>
            </w:r>
            <w:r/>
          </w:p>
        </w:tc>
        <w:tc>
          <w:tcPr>
            <w:tcW w:w="2291" w:type="dxa"/>
            <w:vAlign w:val="center"/>
            <w:vMerge w:val="restart"/>
            <w:textDirection w:val="lrTb"/>
            <w:noWrap w:val="false"/>
          </w:tcPr>
          <w:p>
            <w:pPr>
              <w:pStyle w:val="1070"/>
              <w:jc w:val="center"/>
              <w:rPr>
                <w:rFonts w:ascii="仿宋" w:hAnsi="仿宋" w:eastAsia="仿宋" w:cs="Times New Roman"/>
                <w:bCs/>
                <w:sz w:val="32"/>
                <w:szCs w:val="32"/>
                <w:lang w:val="en-US" w:eastAsia="zh-CN"/>
              </w:rPr>
            </w:pPr>
            <w:r>
              <w:rPr>
                <w:rFonts w:hint="eastAsia" w:ascii="仿宋" w:hAnsi="仿宋" w:eastAsia="仿宋" w:cs="Times New Roman"/>
                <w:bCs/>
                <w:sz w:val="32"/>
                <w:szCs w:val="32"/>
              </w:rPr>
              <w:t xml:space="preserve">本项目为</w:t>
            </w:r>
            <w:r>
              <w:rPr>
                <w:rFonts w:hint="eastAsia" w:ascii="仿宋" w:hAnsi="仿宋" w:eastAsia="仿宋" w:cs="Times New Roman"/>
                <w:bCs/>
                <w:sz w:val="32"/>
                <w:szCs w:val="32"/>
                <w:lang w:eastAsia="zh-CN"/>
              </w:rPr>
              <w:t xml:space="preserve">常州市发改委政府冻猪肉储备项目</w:t>
            </w:r>
            <w:r>
              <w:rPr>
                <w:rFonts w:hint="eastAsia" w:ascii="仿宋" w:hAnsi="仿宋" w:eastAsia="仿宋" w:cs="Times New Roman"/>
                <w:bCs/>
                <w:sz w:val="32"/>
                <w:szCs w:val="32"/>
              </w:rPr>
              <w:t xml:space="preserve">，</w:t>
            </w:r>
            <w:r>
              <w:rPr>
                <w:rFonts w:hint="eastAsia" w:ascii="仿宋" w:hAnsi="仿宋" w:eastAsia="仿宋" w:cs="Times New Roman"/>
                <w:bCs/>
                <w:sz w:val="32"/>
                <w:szCs w:val="32"/>
                <w:lang w:val="en-US" w:eastAsia="zh-CN"/>
              </w:rPr>
              <w:t xml:space="preserve">年</w:t>
            </w:r>
            <w:r>
              <w:rPr>
                <w:rFonts w:hint="eastAsia" w:ascii="仿宋" w:hAnsi="仿宋" w:eastAsia="仿宋" w:cs="Times New Roman"/>
                <w:bCs/>
                <w:sz w:val="32"/>
                <w:szCs w:val="32"/>
              </w:rPr>
              <w:t xml:space="preserve">储备总量为</w:t>
            </w:r>
            <w:r>
              <w:rPr>
                <w:rFonts w:hint="eastAsia" w:ascii="仿宋" w:hAnsi="仿宋" w:eastAsia="仿宋" w:cs="Times New Roman"/>
                <w:bCs/>
                <w:sz w:val="32"/>
                <w:szCs w:val="32"/>
                <w:lang w:val="en-US" w:eastAsia="zh-CN"/>
              </w:rPr>
              <w:t xml:space="preserve">8</w:t>
            </w:r>
            <w:r>
              <w:rPr>
                <w:rFonts w:hint="eastAsia" w:ascii="仿宋" w:hAnsi="仿宋" w:eastAsia="仿宋" w:cs="Times New Roman"/>
                <w:bCs/>
                <w:sz w:val="32"/>
                <w:szCs w:val="32"/>
              </w:rPr>
              <w:t xml:space="preserve">00吨</w:t>
            </w:r>
            <w:r>
              <w:rPr>
                <w:rFonts w:hint="eastAsia" w:ascii="仿宋" w:hAnsi="仿宋" w:eastAsia="仿宋" w:cs="Times New Roman"/>
                <w:bCs/>
                <w:sz w:val="32"/>
                <w:szCs w:val="32"/>
                <w:lang w:val="en-US" w:eastAsia="zh-CN"/>
              </w:rPr>
              <w:t xml:space="preserve">。</w:t>
            </w:r>
            <w:r>
              <w:rPr>
                <w:rFonts w:ascii="仿宋" w:hAnsi="仿宋" w:eastAsia="仿宋" w:cs="Times New Roman"/>
                <w:bCs/>
                <w:sz w:val="32"/>
                <w:szCs w:val="32"/>
                <w:lang w:val="en-US" w:eastAsia="zh-CN"/>
              </w:rPr>
            </w:r>
            <w:r/>
          </w:p>
        </w:tc>
      </w:tr>
      <w:tr>
        <w:trPr>
          <w:trHeight w:val="959"/>
        </w:trPr>
        <w:tc>
          <w:tcPr>
            <w:tcW w:w="427"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02</w:t>
            </w:r>
            <w:r>
              <w:rPr>
                <w:rFonts w:ascii="仿宋" w:hAnsi="仿宋" w:eastAsia="仿宋"/>
                <w:bCs/>
                <w:sz w:val="32"/>
                <w:szCs w:val="32"/>
              </w:rPr>
            </w:r>
            <w:r/>
          </w:p>
        </w:tc>
        <w:tc>
          <w:tcPr>
            <w:tcW w:w="1152" w:type="dxa"/>
            <w:vAlign w:val="center"/>
            <w:textDirection w:val="lrTb"/>
            <w:noWrap w:val="false"/>
          </w:tcPr>
          <w:p>
            <w:pPr>
              <w:pStyle w:val="1070"/>
              <w:jc w:val="center"/>
              <w:rPr>
                <w:rFonts w:ascii="仿宋" w:hAnsi="仿宋" w:eastAsia="仿宋" w:cs="Times New Roman"/>
                <w:bCs/>
                <w:color w:val="000000"/>
                <w:sz w:val="32"/>
                <w:szCs w:val="32"/>
              </w:rPr>
            </w:pPr>
            <w:r>
              <w:rPr>
                <w:rFonts w:ascii="仿宋" w:hAnsi="仿宋" w:eastAsia="仿宋" w:cs="Times New Roman"/>
                <w:bCs/>
                <w:color w:val="000000"/>
                <w:sz w:val="32"/>
                <w:szCs w:val="32"/>
              </w:rPr>
              <w:t xml:space="preserve">猪肉储备总量</w:t>
            </w:r>
            <w:r>
              <w:rPr>
                <w:rFonts w:hint="eastAsia" w:ascii="仿宋" w:hAnsi="仿宋" w:eastAsia="仿宋" w:cs="Times New Roman"/>
                <w:bCs/>
                <w:color w:val="000000"/>
                <w:sz w:val="32"/>
                <w:szCs w:val="32"/>
              </w:rPr>
              <w:t xml:space="preserve">3</w:t>
            </w:r>
            <w:r>
              <w:rPr>
                <w:rFonts w:hint="eastAsia" w:ascii="仿宋" w:hAnsi="仿宋" w:eastAsia="仿宋" w:cs="Times New Roman"/>
                <w:bCs/>
                <w:color w:val="000000"/>
                <w:sz w:val="32"/>
                <w:szCs w:val="32"/>
                <w:lang w:val="en-US" w:eastAsia="zh-CN"/>
              </w:rPr>
              <w:t xml:space="preserve">0</w:t>
            </w:r>
            <w:r>
              <w:rPr>
                <w:rFonts w:ascii="仿宋" w:hAnsi="仿宋" w:eastAsia="仿宋" w:cs="Times New Roman"/>
                <w:bCs/>
                <w:color w:val="000000"/>
                <w:sz w:val="32"/>
                <w:szCs w:val="32"/>
              </w:rPr>
              <w:t xml:space="preserve">0吨</w:t>
            </w:r>
            <w:r>
              <w:rPr>
                <w:rFonts w:ascii="仿宋" w:hAnsi="仿宋" w:eastAsia="仿宋" w:cs="Times New Roman"/>
                <w:bCs/>
                <w:color w:val="000000"/>
                <w:sz w:val="32"/>
                <w:szCs w:val="32"/>
              </w:rPr>
            </w:r>
            <w:r/>
          </w:p>
        </w:tc>
        <w:tc>
          <w:tcPr>
            <w:tcW w:w="1128" w:type="dxa"/>
            <w:vAlign w:val="center"/>
            <w:textDirection w:val="lrTb"/>
            <w:noWrap w:val="false"/>
          </w:tcPr>
          <w:p>
            <w:pPr>
              <w:pStyle w:val="1070"/>
              <w:jc w:val="center"/>
              <w:rPr>
                <w:rFonts w:ascii="仿宋" w:hAnsi="仿宋" w:eastAsia="仿宋" w:cs="Times New Roman"/>
                <w:bCs/>
                <w:color w:val="000000"/>
                <w:sz w:val="32"/>
                <w:szCs w:val="32"/>
                <w:lang w:val="en-US" w:eastAsia="zh-CN"/>
              </w:rPr>
            </w:pPr>
            <w:r>
              <w:rPr>
                <w:rFonts w:hint="eastAsia" w:ascii="仿宋" w:hAnsi="仿宋" w:eastAsia="仿宋" w:cs="Times New Roman"/>
                <w:bCs/>
                <w:color w:val="000000"/>
                <w:sz w:val="32"/>
                <w:szCs w:val="32"/>
                <w:lang w:val="en-US" w:eastAsia="zh-CN"/>
              </w:rPr>
              <w:t xml:space="preserve">60</w:t>
            </w:r>
            <w:r>
              <w:rPr>
                <w:rFonts w:ascii="仿宋" w:hAnsi="仿宋" w:eastAsia="仿宋" w:cs="Times New Roman"/>
                <w:bCs/>
                <w:color w:val="000000"/>
                <w:sz w:val="32"/>
                <w:szCs w:val="32"/>
                <w:lang w:val="en-US" w:eastAsia="zh-CN"/>
              </w:rPr>
            </w:r>
            <w:r/>
          </w:p>
        </w:tc>
        <w:tc>
          <w:tcPr>
            <w:tcW w:w="2291" w:type="dxa"/>
            <w:vAlign w:val="center"/>
            <w:vMerge w:val="continue"/>
            <w:textDirection w:val="lrTb"/>
            <w:noWrap w:val="false"/>
          </w:tcPr>
          <w:p>
            <w:pPr>
              <w:pStyle w:val="1070"/>
              <w:jc w:val="center"/>
              <w:rPr>
                <w:rFonts w:ascii="仿宋" w:hAnsi="仿宋" w:eastAsia="仿宋" w:cs="Times New Roman"/>
                <w:bCs/>
                <w:sz w:val="32"/>
                <w:szCs w:val="32"/>
              </w:rPr>
            </w:pPr>
            <w:r>
              <w:rPr>
                <w:rFonts w:ascii="仿宋" w:hAnsi="仿宋" w:eastAsia="仿宋" w:cs="Times New Roman"/>
                <w:bCs/>
                <w:sz w:val="32"/>
                <w:szCs w:val="32"/>
              </w:rPr>
            </w:r>
            <w:r/>
          </w:p>
        </w:tc>
      </w:tr>
      <w:tr>
        <w:trPr>
          <w:trHeight w:val="830"/>
        </w:trPr>
        <w:tc>
          <w:tcPr>
            <w:tcW w:w="427" w:type="dxa"/>
            <w:vAlign w:val="center"/>
            <w:textDirection w:val="lrTb"/>
            <w:noWrap w:val="false"/>
          </w:tcPr>
          <w:p>
            <w:pPr>
              <w:pStyle w:val="1070"/>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03</w:t>
            </w:r>
            <w:r>
              <w:rPr>
                <w:rFonts w:ascii="仿宋" w:hAnsi="仿宋" w:eastAsia="仿宋"/>
                <w:bCs/>
                <w:sz w:val="32"/>
                <w:szCs w:val="32"/>
                <w:lang w:val="en-US" w:eastAsia="zh-CN"/>
              </w:rPr>
            </w:r>
            <w:r/>
          </w:p>
        </w:tc>
        <w:tc>
          <w:tcPr>
            <w:tcW w:w="1152" w:type="dxa"/>
            <w:vAlign w:val="center"/>
            <w:textDirection w:val="lrTb"/>
            <w:noWrap w:val="false"/>
          </w:tcPr>
          <w:p>
            <w:pPr>
              <w:pStyle w:val="1070"/>
              <w:jc w:val="center"/>
              <w:rPr>
                <w:rFonts w:ascii="仿宋" w:hAnsi="仿宋" w:eastAsia="仿宋" w:cs="Times New Roman"/>
                <w:bCs/>
                <w:sz w:val="32"/>
                <w:szCs w:val="32"/>
              </w:rPr>
            </w:pPr>
            <w:r>
              <w:rPr>
                <w:rFonts w:ascii="仿宋" w:hAnsi="仿宋" w:eastAsia="仿宋" w:cs="Times New Roman"/>
                <w:bCs/>
                <w:sz w:val="32"/>
                <w:szCs w:val="32"/>
              </w:rPr>
              <w:t xml:space="preserve">猪肉储备总量</w:t>
            </w:r>
            <w:r>
              <w:rPr>
                <w:rFonts w:hint="eastAsia" w:ascii="仿宋" w:hAnsi="仿宋" w:eastAsia="仿宋" w:cs="Times New Roman"/>
                <w:bCs/>
                <w:sz w:val="32"/>
                <w:szCs w:val="32"/>
                <w:lang w:val="en-US" w:eastAsia="zh-CN"/>
              </w:rPr>
              <w:t xml:space="preserve">2</w:t>
            </w:r>
            <w:r>
              <w:rPr>
                <w:rFonts w:ascii="仿宋" w:hAnsi="仿宋" w:eastAsia="仿宋" w:cs="Times New Roman"/>
                <w:bCs/>
                <w:sz w:val="32"/>
                <w:szCs w:val="32"/>
              </w:rPr>
              <w:t xml:space="preserve">00吨</w:t>
            </w:r>
            <w:r>
              <w:rPr>
                <w:rFonts w:ascii="仿宋" w:hAnsi="仿宋" w:eastAsia="仿宋" w:cs="Times New Roman"/>
                <w:bCs/>
                <w:sz w:val="32"/>
                <w:szCs w:val="32"/>
              </w:rPr>
            </w:r>
            <w:r/>
          </w:p>
        </w:tc>
        <w:tc>
          <w:tcPr>
            <w:tcW w:w="1128" w:type="dxa"/>
            <w:vAlign w:val="center"/>
            <w:textDirection w:val="lrTb"/>
            <w:noWrap w:val="false"/>
          </w:tcPr>
          <w:p>
            <w:pPr>
              <w:pStyle w:val="1070"/>
              <w:jc w:val="center"/>
              <w:rPr>
                <w:rFonts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 xml:space="preserve">40</w:t>
            </w:r>
            <w:r>
              <w:rPr>
                <w:rFonts w:ascii="仿宋" w:hAnsi="仿宋" w:eastAsia="仿宋" w:cs="Times New Roman"/>
                <w:bCs/>
                <w:sz w:val="32"/>
                <w:szCs w:val="32"/>
                <w:lang w:val="en-US" w:eastAsia="zh-CN"/>
              </w:rPr>
            </w:r>
            <w:r/>
          </w:p>
        </w:tc>
        <w:tc>
          <w:tcPr>
            <w:tcW w:w="2291" w:type="dxa"/>
            <w:vAlign w:val="center"/>
            <w:vMerge w:val="continue"/>
            <w:textDirection w:val="lrTb"/>
            <w:noWrap w:val="false"/>
          </w:tcPr>
          <w:p>
            <w:pPr>
              <w:pStyle w:val="1070"/>
              <w:jc w:val="center"/>
              <w:rPr>
                <w:rFonts w:ascii="仿宋" w:hAnsi="仿宋" w:eastAsia="仿宋" w:cs="Times New Roman"/>
                <w:bCs/>
                <w:sz w:val="32"/>
                <w:szCs w:val="32"/>
              </w:rPr>
            </w:pPr>
            <w:r>
              <w:rPr>
                <w:rFonts w:ascii="仿宋" w:hAnsi="仿宋" w:eastAsia="仿宋" w:cs="Times New Roman"/>
                <w:bCs/>
                <w:sz w:val="32"/>
                <w:szCs w:val="32"/>
              </w:rPr>
            </w:r>
            <w:r/>
          </w:p>
        </w:tc>
      </w:tr>
    </w:tbl>
    <w:p>
      <w:pPr>
        <w:pStyle w:val="1070"/>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sz w:val="32"/>
          <w:szCs w:val="32"/>
        </w:rPr>
        <w:t xml:space="preserve">本项目共</w:t>
      </w:r>
      <w:r>
        <w:rPr>
          <w:rFonts w:hint="eastAsia" w:ascii="仿宋" w:hAnsi="仿宋" w:eastAsia="仿宋" w:cs="宋体"/>
          <w:color w:val="000000"/>
          <w:sz w:val="32"/>
          <w:szCs w:val="32"/>
          <w:highlight w:val="none"/>
        </w:rPr>
        <w:t xml:space="preserve">分</w:t>
      </w:r>
      <w:r>
        <w:rPr>
          <w:rFonts w:hint="eastAsia" w:ascii="仿宋" w:hAnsi="仿宋" w:eastAsia="仿宋" w:cs="宋体"/>
          <w:color w:val="000000"/>
          <w:sz w:val="32"/>
          <w:szCs w:val="32"/>
          <w:highlight w:val="none"/>
          <w:lang w:val="en-US" w:eastAsia="zh-CN"/>
        </w:rPr>
        <w:t xml:space="preserve">3</w:t>
      </w:r>
      <w:r>
        <w:rPr>
          <w:rFonts w:hint="eastAsia" w:ascii="仿宋" w:hAnsi="仿宋" w:eastAsia="仿宋" w:cs="宋体"/>
          <w:color w:val="000000"/>
          <w:sz w:val="32"/>
          <w:szCs w:val="32"/>
          <w:highlight w:val="none"/>
        </w:rPr>
        <w:t xml:space="preserve">个采购包，投标人可对本次采购的单个采购包或全部采购包进行响应，在投标文件中注明所投采购包并响应该采购包全部内容。</w:t>
      </w:r>
      <w:r>
        <w:rPr>
          <w:rFonts w:hint="eastAsia" w:ascii="仿宋" w:hAnsi="仿宋" w:eastAsia="仿宋" w:cs="宋体"/>
          <w:color w:val="000000"/>
          <w:sz w:val="32"/>
          <w:szCs w:val="32"/>
          <w:highlight w:val="none"/>
          <w:lang w:val="en-US" w:eastAsia="zh-CN"/>
        </w:rPr>
        <w:t xml:space="preserve">3</w:t>
      </w:r>
      <w:r>
        <w:rPr>
          <w:rFonts w:hint="eastAsia" w:ascii="仿宋" w:hAnsi="仿宋" w:eastAsia="仿宋" w:cs="宋体"/>
          <w:color w:val="000000"/>
          <w:sz w:val="32"/>
          <w:szCs w:val="32"/>
          <w:highlight w:val="none"/>
        </w:rPr>
        <w:t xml:space="preserve">个采购包同时评审，可兼投兼中。</w:t>
      </w:r>
      <w:r>
        <w:rPr>
          <w:rFonts w:ascii="仿宋" w:hAnsi="仿宋" w:eastAsia="仿宋" w:cs="宋体"/>
          <w:b/>
          <w:color w:val="000000"/>
          <w:spacing w:val="2"/>
          <w:sz w:val="32"/>
          <w:szCs w:val="32"/>
          <w:highlight w:val="none"/>
        </w:rPr>
      </w:r>
      <w:r/>
    </w:p>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合同履行期限：服务期2年，合同一年一签</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rPr>
        <w:t xml:space="preserve">每年合同期满经招标人考核合格后续签下一年度合同。</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2"/>
        <w:ind w:firstLine="643"/>
        <w:jc w:val="left"/>
        <w:spacing w:before="0" w:line="360" w:lineRule="auto"/>
        <w:rPr>
          <w:rFonts w:ascii="仿宋" w:hAnsi="仿宋" w:eastAsia="仿宋"/>
          <w:sz w:val="32"/>
          <w:szCs w:val="32"/>
        </w:rPr>
      </w:pPr>
      <w:r/>
      <w:bookmarkStart w:id="10" w:name="_Toc28359080"/>
      <w:r/>
      <w:bookmarkStart w:id="11" w:name="_Toc28359003"/>
      <w:r/>
      <w:bookmarkStart w:id="12" w:name="_Toc35393622"/>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color w:val="000000"/>
          <w:sz w:val="32"/>
          <w:szCs w:val="32"/>
        </w:rPr>
      </w:pPr>
      <w:r/>
      <w:bookmarkStart w:id="14" w:name="_Toc28359004"/>
      <w:r/>
      <w:bookmarkStart w:id="15" w:name="_Toc28359081"/>
      <w:r>
        <w:rPr>
          <w:rFonts w:ascii="仿宋" w:hAnsi="仿宋" w:eastAsia="仿宋"/>
          <w:sz w:val="32"/>
          <w:szCs w:val="32"/>
        </w:rPr>
        <w:t xml:space="preserve">2.落实政</w:t>
      </w:r>
      <w:r>
        <w:rPr>
          <w:rFonts w:ascii="仿宋" w:hAnsi="仿宋" w:eastAsia="仿宋"/>
          <w:color w:val="000000"/>
          <w:sz w:val="32"/>
          <w:szCs w:val="32"/>
        </w:rPr>
        <w:t xml:space="preserve">府采购政策需满足的资格要求：</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0"/>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对于预留份额，提供的货物由符合政策要求的中小企业制造、服务由符合政策要求的中小企业承接。</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0"/>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w:t>
      </w:r>
      <w:r>
        <w:rPr>
          <w:rFonts w:ascii="仿宋" w:hAnsi="仿宋" w:eastAsia="仿宋"/>
          <w:sz w:val="32"/>
          <w:szCs w:val="32"/>
        </w:rPr>
        <w:t xml:space="preserve">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color w:val="000000"/>
          <w:sz w:val="32"/>
          <w:szCs w:val="32"/>
          <w:u w:val="single"/>
        </w:rPr>
      </w:pPr>
      <w:r>
        <w:rPr>
          <w:rFonts w:ascii="仿宋" w:hAnsi="仿宋" w:eastAsia="仿宋"/>
          <w:sz w:val="32"/>
          <w:szCs w:val="32"/>
        </w:rPr>
        <w:t xml:space="preserve">3.本项目的特定资格要求</w:t>
      </w:r>
      <w:r>
        <w:rPr>
          <w:rFonts w:ascii="仿宋" w:hAnsi="仿宋" w:eastAsia="仿宋"/>
          <w:color w:val="000000"/>
          <w:sz w:val="32"/>
          <w:szCs w:val="32"/>
        </w:rPr>
        <w:t xml:space="preserve">：</w:t>
      </w:r>
      <w:r>
        <w:rPr>
          <w:rFonts w:ascii="仿宋" w:hAnsi="仿宋" w:eastAsia="仿宋"/>
          <w:i/>
          <w:iCs/>
          <w:color w:val="000000"/>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rPr>
        <w:t xml:space="preserve">投标人具有有效的《食品经营许可证》</w:t>
      </w:r>
      <w:r>
        <w:rPr>
          <w:rFonts w:hint="eastAsia" w:ascii="仿宋" w:hAnsi="仿宋" w:eastAsia="仿宋"/>
          <w:color w:val="000000"/>
          <w:sz w:val="32"/>
          <w:szCs w:val="32"/>
        </w:rPr>
        <w:t xml:space="preserve">。</w:t>
      </w:r>
      <w:r>
        <w:rPr>
          <w:rFonts w:ascii="仿宋" w:hAnsi="仿宋" w:eastAsia="仿宋"/>
          <w:i/>
          <w:iCs/>
          <w:color w:val="000000"/>
          <w:sz w:val="32"/>
          <w:szCs w:val="32"/>
          <w:u w:val="single"/>
        </w:rPr>
      </w:r>
      <w:r/>
    </w:p>
    <w:p>
      <w:pPr>
        <w:pStyle w:val="1072"/>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0"/>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b/>
          <w:bCs/>
          <w:color w:val="000000"/>
          <w:sz w:val="32"/>
          <w:szCs w:val="32"/>
          <w:lang w:val="en-US" w:eastAsia="zh-CN" w:bidi="ar"/>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月30</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至</w:t>
      </w:r>
      <w:r>
        <w:rPr>
          <w:rFonts w:hint="eastAsia" w:ascii="仿宋" w:hAnsi="仿宋" w:eastAsia="仿宋"/>
          <w:b/>
          <w:bCs/>
          <w:color w:val="000000"/>
          <w:sz w:val="32"/>
          <w:szCs w:val="32"/>
          <w:lang w:val="en-US" w:eastAsia="zh-CN" w:bidi="ar"/>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06</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（北京时间）</w:t>
      </w:r>
      <w:r>
        <w:rPr>
          <w:rFonts w:hint="eastAsia" w:ascii="仿宋" w:hAnsi="仿宋" w:eastAsia="仿宋"/>
          <w:color w:val="000000"/>
          <w:sz w:val="32"/>
          <w:szCs w:val="32"/>
          <w:lang w:bidi="ar"/>
        </w:rPr>
        <w:t xml:space="preserve">。</w:t>
      </w:r>
      <w:r>
        <w:rPr>
          <w:rFonts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0"/>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0"/>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2"/>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lang w:val="en-US" w:eastAsia="zh-CN"/>
        </w:rPr>
        <w:t xml:space="preserve"> 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19</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 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35393625"/>
      <w:r/>
      <w:bookmarkStart w:id="23" w:name="_Toc35393794"/>
      <w:r/>
      <w:bookmarkStart w:id="24" w:name="_Toc28359007"/>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2"/>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0"/>
        <w:ind w:firstLine="640"/>
        <w:spacing w:line="360" w:lineRule="auto"/>
        <w:rPr>
          <w:rFonts w:hint="eastAsia" w:ascii="仿宋" w:hAnsi="仿宋" w:eastAsia="仿宋"/>
          <w:color w:val="000000"/>
          <w:sz w:val="32"/>
          <w:szCs w:val="32"/>
          <w:lang w:val="en-US" w:eastAsia="zh-CN" w:bidi="ar"/>
        </w:rPr>
      </w:pPr>
      <w:r>
        <w:rPr>
          <w:rFonts w:ascii="仿宋" w:hAnsi="仿宋" w:eastAsia="仿宋"/>
          <w:sz w:val="32"/>
          <w:szCs w:val="32"/>
        </w:rPr>
        <w:t xml:space="preserve">2.本项目</w:t>
      </w:r>
      <w:r>
        <w:rPr>
          <w:rFonts w:ascii="仿宋" w:hAnsi="仿宋" w:eastAsia="仿宋"/>
          <w:color w:val="000000"/>
          <w:sz w:val="32"/>
          <w:szCs w:val="32"/>
        </w:rPr>
        <w:t xml:space="preserve">的采购年限为</w:t>
      </w:r>
      <w:r>
        <w:rPr>
          <w:rFonts w:hint="eastAsia" w:ascii="仿宋" w:hAnsi="仿宋" w:eastAsia="仿宋"/>
          <w:color w:val="000000"/>
          <w:sz w:val="32"/>
          <w:szCs w:val="32"/>
          <w:lang w:val="en-US" w:eastAsia="zh-CN"/>
        </w:rPr>
        <w:t xml:space="preserve">2</w:t>
      </w:r>
      <w:r>
        <w:rPr>
          <w:rFonts w:ascii="仿宋" w:hAnsi="仿宋" w:eastAsia="仿宋"/>
          <w:color w:val="000000"/>
          <w:sz w:val="32"/>
          <w:szCs w:val="32"/>
        </w:rPr>
        <w:t xml:space="preserve">年、</w:t>
      </w:r>
      <w:r>
        <w:rPr>
          <w:rFonts w:hint="eastAsia" w:ascii="仿宋" w:hAnsi="仿宋" w:eastAsia="仿宋"/>
          <w:color w:val="000000"/>
          <w:sz w:val="32"/>
          <w:szCs w:val="32"/>
        </w:rPr>
        <w:t xml:space="preserve">预算</w:t>
      </w:r>
      <w:r>
        <w:rPr>
          <w:rFonts w:ascii="仿宋" w:hAnsi="仿宋" w:eastAsia="仿宋"/>
          <w:color w:val="000000"/>
          <w:sz w:val="32"/>
          <w:szCs w:val="32"/>
        </w:rPr>
        <w:t xml:space="preserve">金额为</w:t>
      </w:r>
      <w:r>
        <w:rPr>
          <w:rFonts w:hint="eastAsia" w:ascii="仿宋" w:hAnsi="仿宋" w:eastAsia="仿宋"/>
          <w:color w:val="000000"/>
          <w:sz w:val="32"/>
          <w:szCs w:val="32"/>
          <w:lang w:val="en-US" w:eastAsia="zh-CN"/>
        </w:rPr>
        <w:t xml:space="preserve">320</w:t>
      </w:r>
      <w:r>
        <w:rPr>
          <w:rFonts w:ascii="仿宋" w:hAnsi="仿宋" w:eastAsia="仿宋"/>
          <w:color w:val="000000"/>
          <w:sz w:val="32"/>
          <w:szCs w:val="32"/>
        </w:rPr>
        <w:t xml:space="preserve">万元、</w:t>
      </w:r>
      <w:r>
        <w:rPr>
          <w:rFonts w:hint="eastAsia" w:ascii="仿宋" w:hAnsi="仿宋" w:eastAsia="仿宋"/>
          <w:color w:val="000000"/>
          <w:sz w:val="32"/>
          <w:szCs w:val="32"/>
          <w:lang w:val="en-US" w:eastAsia="zh-CN"/>
        </w:rPr>
        <w:t xml:space="preserve">一</w:t>
      </w:r>
      <w:r>
        <w:rPr>
          <w:rFonts w:ascii="仿宋" w:hAnsi="仿宋" w:eastAsia="仿宋"/>
          <w:color w:val="000000"/>
          <w:sz w:val="32"/>
          <w:szCs w:val="32"/>
        </w:rPr>
        <w:t xml:space="preserve">年安排数为</w:t>
      </w:r>
      <w:r>
        <w:rPr>
          <w:rFonts w:hint="eastAsia" w:ascii="仿宋" w:hAnsi="仿宋" w:eastAsia="仿宋"/>
          <w:color w:val="000000"/>
          <w:sz w:val="32"/>
          <w:szCs w:val="32"/>
          <w:lang w:val="en-US" w:eastAsia="zh-CN"/>
        </w:rPr>
        <w:t xml:space="preserve">160</w:t>
      </w:r>
      <w:r>
        <w:rPr>
          <w:rFonts w:ascii="仿宋" w:hAnsi="仿宋" w:eastAsia="仿宋"/>
          <w:color w:val="000000"/>
          <w:sz w:val="32"/>
          <w:szCs w:val="32"/>
        </w:rPr>
        <w:t xml:space="preserve">万元。</w:t>
      </w:r>
      <w:r>
        <w:rPr>
          <w:rFonts w:hint="eastAsia" w:ascii="仿宋" w:hAnsi="仿宋" w:eastAsia="仿宋"/>
          <w:color w:val="000000"/>
          <w:sz w:val="32"/>
          <w:szCs w:val="32"/>
          <w:lang w:val="en-US" w:eastAsia="zh-CN" w:bidi="ar"/>
        </w:rPr>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en-US" w:eastAsia="zh-CN" w:bidi="ar"/>
        </w:rPr>
        <w:t xml:space="preserve">4</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28359008"/>
      <w:r/>
      <w:bookmarkStart w:id="29" w:name="_Toc28359085"/>
      <w:r/>
      <w:bookmarkStart w:id="30" w:name="_Toc35393796"/>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3"/>
        <w:jc w:val="left"/>
        <w:spacing w:line="360" w:lineRule="auto"/>
        <w:widowControl/>
        <w:rPr>
          <w:rFonts w:ascii="仿宋" w:hAnsi="仿宋" w:eastAsia="仿宋"/>
          <w:b/>
          <w:color w:val="000000"/>
          <w:sz w:val="32"/>
          <w:szCs w:val="32"/>
        </w:rPr>
      </w:pPr>
      <w:r>
        <w:rPr>
          <w:rFonts w:ascii="仿宋" w:hAnsi="仿宋" w:eastAsia="仿宋"/>
          <w:b/>
          <w:sz w:val="32"/>
          <w:szCs w:val="32"/>
        </w:rPr>
        <w:t xml:space="preserve">1.采</w:t>
      </w:r>
      <w:r>
        <w:rPr>
          <w:rFonts w:ascii="仿宋" w:hAnsi="仿宋" w:eastAsia="仿宋"/>
          <w:b/>
          <w:color w:val="000000"/>
          <w:sz w:val="32"/>
          <w:szCs w:val="32"/>
        </w:rPr>
        <w:t xml:space="preserve">购人信息</w:t>
      </w:r>
      <w:r>
        <w:rPr>
          <w:rFonts w:ascii="仿宋" w:hAnsi="仿宋" w:eastAsia="仿宋"/>
          <w:b/>
          <w:color w:val="000000"/>
          <w:sz w:val="32"/>
          <w:szCs w:val="32"/>
        </w:rPr>
      </w:r>
      <w:r/>
    </w:p>
    <w:p>
      <w:pPr>
        <w:pStyle w:val="1070"/>
        <w:ind w:firstLine="640"/>
        <w:jc w:val="left"/>
        <w:spacing w:line="360" w:lineRule="auto"/>
        <w:rPr>
          <w:rFonts w:hint="eastAsia" w:ascii="仿宋" w:hAnsi="仿宋" w:eastAsia="仿宋"/>
          <w:color w:val="000000"/>
          <w:sz w:val="32"/>
          <w:szCs w:val="32"/>
        </w:rPr>
      </w:pPr>
      <w:r/>
      <w:bookmarkStart w:id="32" w:name="_Toc28359086"/>
      <w:r/>
      <w:bookmarkStart w:id="33" w:name="_Toc28359009"/>
      <w:r>
        <w:rPr>
          <w:rFonts w:hint="eastAsia" w:ascii="仿宋" w:hAnsi="仿宋" w:eastAsia="仿宋"/>
          <w:color w:val="000000"/>
          <w:sz w:val="32"/>
          <w:szCs w:val="32"/>
        </w:rPr>
        <w:t xml:space="preserve">名    称：常州市发展和改革委员会 </w:t>
      </w:r>
      <w:r>
        <w:rPr>
          <w:rFonts w:hint="eastAsia" w:ascii="仿宋" w:hAnsi="仿宋" w:eastAsia="仿宋"/>
          <w:color w:val="000000"/>
          <w:sz w:val="32"/>
          <w:szCs w:val="32"/>
        </w:rPr>
      </w:r>
      <w:r/>
    </w:p>
    <w:p>
      <w:pPr>
        <w:pStyle w:val="1070"/>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址：常州市龙城大道1280号市行政中心1号楼B座24-25层</w:t>
      </w:r>
      <w:r>
        <w:rPr>
          <w:rFonts w:hint="eastAsia" w:ascii="仿宋" w:hAnsi="仿宋" w:eastAsia="仿宋"/>
          <w:color w:val="000000"/>
          <w:sz w:val="32"/>
          <w:szCs w:val="32"/>
        </w:rPr>
      </w:r>
      <w:r/>
    </w:p>
    <w:p>
      <w:pPr>
        <w:pStyle w:val="1070"/>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联系方式：虞先生 0519-85683266</w:t>
      </w:r>
      <w:r>
        <w:rPr>
          <w:rFonts w:hint="eastAsia" w:ascii="仿宋" w:hAnsi="仿宋" w:eastAsia="仿宋"/>
          <w:color w:val="000000"/>
          <w:sz w:val="32"/>
          <w:szCs w:val="32"/>
        </w:rPr>
      </w:r>
      <w:r/>
    </w:p>
    <w:p>
      <w:pPr>
        <w:pStyle w:val="1070"/>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0"/>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w:t>
      </w:r>
      <w:r>
        <w:rPr>
          <w:rFonts w:hint="eastAsia" w:ascii="仿宋" w:hAnsi="仿宋" w:eastAsia="仿宋"/>
          <w:sz w:val="32"/>
          <w:szCs w:val="32"/>
        </w:rPr>
        <w:t xml:space="preserve">工程招标有限公司</w:t>
      </w:r>
      <w:r>
        <w:rPr>
          <w:rFonts w:hint="eastAsia" w:ascii="仿宋" w:hAnsi="仿宋" w:eastAsia="仿宋"/>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color w:val="000000"/>
          <w:sz w:val="32"/>
          <w:szCs w:val="32"/>
        </w:rPr>
      </w:pPr>
      <w:r>
        <w:rPr>
          <w:rFonts w:ascii="仿宋" w:hAnsi="仿宋" w:eastAsia="仿宋"/>
          <w:b/>
          <w:sz w:val="32"/>
          <w:szCs w:val="32"/>
        </w:rPr>
        <w:t xml:space="preserve">3.项目</w:t>
      </w:r>
      <w:r>
        <w:rPr>
          <w:rFonts w:ascii="仿宋" w:hAnsi="仿宋" w:eastAsia="仿宋"/>
          <w:b/>
          <w:color w:val="000000"/>
          <w:sz w:val="32"/>
          <w:szCs w:val="32"/>
        </w:rPr>
        <w:t xml:space="preserve">联系方式</w:t>
      </w:r>
      <w:bookmarkEnd w:id="34"/>
      <w:r/>
      <w:bookmarkEnd w:id="35"/>
      <w:r>
        <w:rPr>
          <w:rFonts w:hint="eastAsia"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魏海玲</w:t>
      </w:r>
      <w:r>
        <w:rPr>
          <w:rFonts w:hint="eastAsia" w:ascii="仿宋" w:hAnsi="仿宋" w:eastAsia="仿宋"/>
          <w:color w:val="000000"/>
          <w:sz w:val="32"/>
          <w:szCs w:val="32"/>
          <w:lang w:val="en-US" w:eastAsia="zh-CN"/>
        </w:rPr>
      </w:r>
      <w:r/>
    </w:p>
    <w:p>
      <w:pPr>
        <w:pStyle w:val="1070"/>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6033</w:t>
      </w:r>
      <w:r>
        <w:rPr>
          <w:rFonts w:hint="eastAsia" w:ascii="仿宋" w:hAnsi="仿宋" w:eastAsia="仿宋"/>
          <w:color w:val="000000"/>
          <w:sz w:val="32"/>
          <w:szCs w:val="32"/>
        </w:rPr>
        <w:t xml:space="preserve">）</w:t>
      </w:r>
      <w:r>
        <w:rPr>
          <w:rFonts w:ascii="仿宋" w:hAnsi="仿宋" w:eastAsia="仿宋"/>
          <w:color w:val="000000"/>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27151777"/>
      <w:r/>
      <w:bookmarkStart w:id="38" w:name="_Toc512937850"/>
      <w:r/>
      <w:bookmarkStart w:id="39" w:name="_Toc305158928"/>
      <w:r/>
      <w:bookmarkStart w:id="40" w:name="_Toc305158854"/>
      <w:r/>
      <w:bookmarkStart w:id="41" w:name="_Toc195842950"/>
      <w:r/>
      <w:bookmarkStart w:id="42" w:name="_Toc150774783"/>
      <w:r/>
      <w:bookmarkStart w:id="43" w:name="_Toc99301420"/>
      <w:r/>
      <w:bookmarkStart w:id="44" w:name="_Toc127161488"/>
      <w:r/>
      <w:bookmarkStart w:id="45" w:name="_Toc265228423"/>
      <w:r/>
      <w:bookmarkStart w:id="46" w:name="_Toc264969275"/>
      <w:r/>
      <w:bookmarkStart w:id="47" w:name="_Toc226965856"/>
      <w:r/>
      <w:bookmarkStart w:id="48" w:name="_Toc35387393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164608633"/>
      <w:r/>
      <w:bookmarkStart w:id="50" w:name="_Toc164229214"/>
      <w:r/>
      <w:bookmarkStart w:id="51" w:name="_Toc142311021"/>
      <w:r/>
      <w:bookmarkStart w:id="52" w:name="_Toc151193617"/>
      <w:r/>
      <w:bookmarkStart w:id="53" w:name="_Toc164229360"/>
      <w:r/>
      <w:bookmarkStart w:id="54" w:name="_Toc151190146"/>
      <w:r/>
      <w:bookmarkStart w:id="55" w:name="_Toc151193833"/>
      <w:r/>
      <w:bookmarkStart w:id="56" w:name="_Toc150774724"/>
      <w:r/>
      <w:bookmarkStart w:id="57" w:name="_Toc226965709"/>
      <w:r/>
      <w:bookmarkStart w:id="58" w:name="_Toc150480757"/>
      <w:r/>
      <w:bookmarkStart w:id="59" w:name="_Toc150774619"/>
      <w:r/>
      <w:bookmarkStart w:id="60" w:name="_Toc226965792"/>
      <w:r/>
      <w:bookmarkStart w:id="61" w:name="_Toc151193689"/>
      <w:r/>
      <w:bookmarkStart w:id="62" w:name="_Toc151193761"/>
      <w:r/>
      <w:bookmarkStart w:id="63" w:name="_Toc164351613"/>
      <w:r/>
      <w:bookmarkStart w:id="64" w:name="_Toc520356144"/>
      <w:r/>
      <w:bookmarkStart w:id="65" w:name="_Toc127161433"/>
      <w:r/>
      <w:bookmarkStart w:id="66" w:name="_Toc151193907"/>
      <w:r/>
      <w:bookmarkStart w:id="67" w:name="_Toc226337215"/>
      <w:r/>
      <w:bookmarkStart w:id="68" w:name="_Toc195842884"/>
      <w:r/>
      <w:bookmarkStart w:id="69" w:name="_Toc127151720"/>
      <w:r/>
      <w:bookmarkStart w:id="70" w:name="_Toc226309763"/>
      <w:r/>
      <w:bookmarkStart w:id="71" w:name="_Toc149720812"/>
      <w:r/>
      <w:bookmarkStart w:id="72" w:name="_Toc164608788"/>
      <w:r/>
      <w:bookmarkStart w:id="73" w:name="_Toc127151519"/>
      <w:r/>
      <w:bookmarkStart w:id="74" w:name="_Toc150509270"/>
      <w:r>
        <w:rPr>
          <w:rFonts w:ascii="宋体" w:hAnsi="宋体" w:eastAsia="宋体"/>
          <w:sz w:val="28"/>
        </w:rPr>
        <w:t xml:space="preserve">投标人须知资料表</w:t>
      </w:r>
      <w:r>
        <w:rPr>
          <w:rFonts w:ascii="宋体" w:hAnsi="宋体" w:eastAsia="宋体"/>
          <w:sz w:val="28"/>
        </w:rPr>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2"/>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2"/>
              <w:rPr>
                <w:rFonts w:hAnsi="宋体" w:cs="宋体"/>
                <w:sz w:val="24"/>
                <w:szCs w:val="24"/>
              </w:rPr>
            </w:pPr>
            <w:r>
              <w:rPr>
                <w:rFonts w:hint="eastAsia" w:hAnsi="宋体" w:cs="宋体"/>
                <w:sz w:val="24"/>
                <w:szCs w:val="24"/>
                <w:lang w:eastAsia="zh-CN"/>
              </w:rPr>
              <w:t xml:space="preserve">□</w:t>
            </w:r>
            <w:r>
              <w:rPr>
                <w:rFonts w:hAnsi="宋体" w:cs="宋体"/>
                <w:sz w:val="24"/>
                <w:szCs w:val="24"/>
              </w:rPr>
              <w:t xml:space="preserve">本项目__包为单一产品采购项目。</w:t>
            </w:r>
            <w:r>
              <w:rPr>
                <w:rFonts w:hAnsi="宋体" w:cs="宋体"/>
                <w:sz w:val="24"/>
                <w:szCs w:val="24"/>
              </w:rPr>
            </w:r>
            <w:r/>
          </w:p>
          <w:p>
            <w:pPr>
              <w:pStyle w:val="1070"/>
              <w:jc w:val="left"/>
              <w:rPr>
                <w:rFonts w:hint="eastAsia" w:ascii="宋体" w:hAnsi="宋体" w:cs="宋体"/>
                <w:sz w:val="24"/>
              </w:rPr>
            </w:pP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2"/>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2"/>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2"/>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仓储业</w:t>
            </w:r>
            <w:r>
              <w:rPr>
                <w:rFonts w:hint="eastAsia" w:ascii="宋体" w:hAnsi="宋体" w:cs="宋体"/>
                <w:color w:val="000000"/>
                <w:sz w:val="24"/>
                <w:highlight w:val="none"/>
              </w:rPr>
              <w:t xml:space="preserve">。</w:t>
            </w:r>
            <w:r>
              <w:rPr>
                <w:rFonts w:hint="eastAsia" w:ascii="宋体" w:hAnsi="宋体" w:cs="宋体"/>
                <w:color w:val="000000"/>
                <w:sz w:val="24"/>
              </w:rPr>
            </w:r>
            <w:r/>
          </w:p>
        </w:tc>
      </w:tr>
      <w:tr>
        <w:trPr>
          <w:trHeight w:val="841"/>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lang w:val="en-US" w:eastAsia="zh-CN"/>
              </w:rPr>
              <w:t xml:space="preserve">2026</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01</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07</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070"/>
              <w:jc w:val="left"/>
              <w:shd w:val="clear" w:color="auto" w:fill="auto"/>
              <w:rPr>
                <w:rFonts w:hint="eastAsia" w:ascii="宋体" w:hAnsi="宋体" w:cs="宋体"/>
                <w:color w:val="000000"/>
                <w:sz w:val="24"/>
                <w:highlight w:val="none"/>
              </w:rPr>
            </w:pPr>
            <w:r>
              <w:rPr>
                <w:rFonts w:hint="eastAsia" w:ascii="宋体" w:hAnsi="宋体" w:cs="宋体"/>
                <w:sz w:val="24"/>
              </w:rPr>
              <w:t xml:space="preserve">联系部门：技术部；</w:t>
            </w:r>
            <w:r>
              <w:rPr>
                <w:rFonts w:hint="eastAsia" w:ascii="宋体" w:hAnsi="宋体" w:cs="宋体"/>
                <w:color w:val="000000"/>
                <w:sz w:val="24"/>
                <w:highlight w:val="none"/>
              </w:rPr>
            </w:r>
            <w:r/>
          </w:p>
          <w:p>
            <w:pPr>
              <w:pStyle w:val="107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shd w:val="clear" w:color="auto" w:fill="auto"/>
              <w:rPr>
                <w:rFonts w:hint="eastAsia" w:ascii="宋体" w:hAnsi="宋体" w:cs="宋体"/>
                <w:sz w:val="24"/>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rPr>
                <w:rFonts w:hint="eastAsia" w:ascii="宋体" w:hAnsi="宋体" w:cs="宋体"/>
                <w:b/>
                <w:sz w:val="24"/>
              </w:rPr>
            </w:r>
            <w:r/>
          </w:p>
          <w:p>
            <w:pPr>
              <w:pStyle w:val="1070"/>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070"/>
              <w:jc w:val="left"/>
              <w:rPr>
                <w:rFonts w:hint="eastAsia" w:ascii="宋体" w:hAnsi="宋体" w:cs="宋体"/>
                <w:b/>
                <w:sz w:val="24"/>
              </w:rPr>
            </w:pPr>
            <w:r>
              <w:rPr>
                <w:rFonts w:hint="eastAsia" w:ascii="宋体" w:hAnsi="宋体" w:cs="宋体"/>
                <w:b/>
                <w:sz w:val="24"/>
              </w:rPr>
              <w:t xml:space="preserve">（二）收费标准：</w:t>
            </w:r>
            <w:r>
              <w:rPr>
                <w:rFonts w:hint="eastAsia" w:ascii="宋体" w:hAnsi="宋体" w:cs="宋体"/>
                <w:b/>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70"/>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70"/>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70"/>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top"/>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top"/>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c>
                <w:tcPr>
                  <w:tcW w:w="3023" w:type="dxa"/>
                  <w:vAlign w:val="top"/>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top"/>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70"/>
              <w:ind w:firstLine="480"/>
              <w:jc w:val="left"/>
              <w:rPr>
                <w:rFonts w:hint="eastAsia" w:ascii="宋体" w:hAnsi="宋体" w:cs="宋体"/>
                <w:b/>
                <w:color w:val="000000"/>
                <w:sz w:val="24"/>
              </w:rPr>
            </w:pPr>
            <w:r>
              <w:rPr>
                <w:rFonts w:hint="eastAsia" w:ascii="宋体" w:hAnsi="宋体" w:cs="宋体"/>
                <w:color w:val="000000"/>
                <w:sz w:val="24"/>
              </w:rPr>
              <w:t xml:space="preserve">每年代理费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中标人应在领取中标通知书时将</w:t>
            </w:r>
            <w:r>
              <w:rPr>
                <w:rFonts w:hint="eastAsia" w:ascii="宋体" w:hAnsi="宋体" w:cs="宋体"/>
                <w:color w:val="000000"/>
                <w:sz w:val="24"/>
                <w:lang w:val="en-US" w:eastAsia="zh-CN"/>
              </w:rPr>
              <w:t xml:space="preserve">二</w:t>
            </w:r>
            <w:r>
              <w:rPr>
                <w:rFonts w:hint="eastAsia" w:ascii="宋体" w:hAnsi="宋体" w:cs="宋体"/>
                <w:color w:val="000000"/>
                <w:sz w:val="24"/>
              </w:rPr>
              <w:t xml:space="preserve">年代理费支付至常州市城投建设工程招标有限公司账户。</w:t>
            </w:r>
            <w:r>
              <w:rPr>
                <w:rFonts w:hint="eastAsia" w:ascii="宋体" w:hAnsi="宋体" w:cs="宋体"/>
                <w:color w:val="000000"/>
                <w:sz w:val="24"/>
              </w:rPr>
            </w:r>
            <w:r/>
          </w:p>
          <w:p>
            <w:pPr>
              <w:pStyle w:val="1070"/>
              <w:ind w:firstLine="472"/>
              <w:jc w:val="left"/>
              <w:rPr>
                <w:rFonts w:hint="eastAsia" w:ascii="宋体" w:hAnsi="宋体" w:cs="宋体"/>
                <w:sz w:val="24"/>
              </w:rPr>
            </w:pPr>
            <w:r>
              <w:rPr>
                <w:rFonts w:hint="eastAsia" w:ascii="宋体" w:hAnsi="宋体" w:cs="宋体"/>
                <w:color w:val="000000"/>
                <w:sz w:val="24"/>
              </w:rPr>
              <w:t xml:space="preserve">收款单位：常州市城投建设工程招标有限公司</w:t>
            </w:r>
            <w:r>
              <w:rPr>
                <w:rFonts w:hint="eastAsia" w:ascii="宋体" w:hAnsi="宋体" w:cs="宋体"/>
                <w:sz w:val="24"/>
              </w:rPr>
            </w:r>
            <w:r/>
          </w:p>
          <w:p>
            <w:pPr>
              <w:pStyle w:val="1070"/>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70"/>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0"/>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127151517"/>
      <w:r/>
      <w:bookmarkStart w:id="76" w:name="_Toc353873662"/>
      <w:r/>
      <w:bookmarkStart w:id="77" w:name="_Toc195842882"/>
      <w:r/>
      <w:bookmarkStart w:id="78" w:name="_Toc150774722"/>
      <w:r/>
      <w:bookmarkStart w:id="79" w:name="_Toc265228355"/>
      <w:r/>
      <w:bookmarkStart w:id="80" w:name="_Toc353873932"/>
      <w:r/>
      <w:bookmarkStart w:id="81" w:name="_Toc226337213"/>
      <w:r/>
      <w:bookmarkStart w:id="82" w:name="_Toc226965790"/>
      <w:r/>
      <w:bookmarkStart w:id="83" w:name="_Toc305158859"/>
      <w:r/>
      <w:bookmarkStart w:id="84" w:name="_Toc264969207"/>
      <w:r/>
      <w:bookmarkStart w:id="85" w:name="_Toc305158785"/>
      <w:r/>
      <w:bookmarkStart w:id="86" w:name="_Toc353825542"/>
      <w:r/>
      <w:bookmarkStart w:id="87" w:name="_Toc142311019"/>
      <w:r/>
      <w:bookmarkStart w:id="88" w:name="_Toc1504807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26965708"/>
      <w:r/>
      <w:bookmarkStart w:id="92" w:name="_Toc150774618"/>
      <w:r/>
      <w:bookmarkStart w:id="93" w:name="_Toc195842883"/>
      <w:r/>
      <w:bookmarkStart w:id="94" w:name="_Toc151193616"/>
      <w:r/>
      <w:bookmarkStart w:id="95" w:name="_Toc264969208"/>
      <w:r/>
      <w:bookmarkStart w:id="96" w:name="_Toc226309762"/>
      <w:r/>
      <w:bookmarkStart w:id="97" w:name="_Toc150774723"/>
      <w:r/>
      <w:bookmarkStart w:id="98" w:name="_Toc305158860"/>
      <w:r/>
      <w:bookmarkStart w:id="99" w:name="_Toc150480756"/>
      <w:r/>
      <w:bookmarkStart w:id="100" w:name="_Toc151193688"/>
      <w:r/>
      <w:bookmarkStart w:id="101" w:name="_Toc142311020"/>
      <w:r/>
      <w:bookmarkStart w:id="102" w:name="_Toc151193906"/>
      <w:r/>
      <w:bookmarkStart w:id="103" w:name="_Toc265228356"/>
      <w:r/>
      <w:bookmarkStart w:id="104" w:name="_Toc150509269"/>
      <w:r/>
      <w:bookmarkStart w:id="105" w:name="_Toc305158786"/>
      <w:r/>
      <w:bookmarkStart w:id="106" w:name="_Toc226337214"/>
      <w:r/>
      <w:bookmarkStart w:id="107" w:name="_Toc226965791"/>
      <w:r/>
      <w:bookmarkStart w:id="108" w:name="_Toc151193832"/>
      <w:r/>
      <w:bookmarkStart w:id="109" w:name="_Toc151193760"/>
      <w:r/>
      <w:bookmarkStart w:id="110" w:name="_Toc151190145"/>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226965793"/>
      <w:r/>
      <w:bookmarkStart w:id="116" w:name="_Toc305158862"/>
      <w:r/>
      <w:bookmarkStart w:id="117" w:name="_Toc164608789"/>
      <w:r/>
      <w:bookmarkStart w:id="118" w:name="_Toc151193690"/>
      <w:r/>
      <w:bookmarkStart w:id="119" w:name="_Toc226965710"/>
      <w:r/>
      <w:bookmarkStart w:id="120" w:name="_Toc151193762"/>
      <w:r/>
      <w:bookmarkStart w:id="121" w:name="_Toc151193618"/>
      <w:r/>
      <w:bookmarkStart w:id="122" w:name="_Toc151193834"/>
      <w:r/>
      <w:bookmarkStart w:id="123" w:name="_Toc164229361"/>
      <w:r/>
      <w:bookmarkStart w:id="124" w:name="_Toc151193908"/>
      <w:r/>
      <w:bookmarkStart w:id="125" w:name="_Toc142311022"/>
      <w:r/>
      <w:bookmarkStart w:id="126" w:name="_Toc226309764"/>
      <w:r/>
      <w:bookmarkStart w:id="127" w:name="_Toc164608634"/>
      <w:r/>
      <w:bookmarkStart w:id="128" w:name="_Toc195842885"/>
      <w:r/>
      <w:bookmarkStart w:id="129" w:name="_Toc305158788"/>
      <w:r/>
      <w:bookmarkStart w:id="130" w:name="_Toc164229215"/>
      <w:r/>
      <w:bookmarkStart w:id="131" w:name="_Toc265228358"/>
      <w:r/>
      <w:bookmarkStart w:id="132" w:name="_Toc164351614"/>
      <w:r/>
      <w:bookmarkStart w:id="133" w:name="_Toc150774620"/>
      <w:r/>
      <w:bookmarkStart w:id="134" w:name="_Toc127151721"/>
      <w:r/>
      <w:bookmarkStart w:id="135" w:name="_Toc226337216"/>
      <w:r/>
      <w:bookmarkStart w:id="136" w:name="_Toc264969210"/>
      <w:r/>
      <w:bookmarkStart w:id="137" w:name="_Toc149720813"/>
      <w:r/>
      <w:bookmarkStart w:id="138" w:name="_Toc151190147"/>
      <w:r/>
      <w:bookmarkStart w:id="139" w:name="_Toc150480758"/>
      <w:r/>
      <w:bookmarkStart w:id="140" w:name="_Toc150509271"/>
      <w:r/>
      <w:bookmarkStart w:id="141" w:name="_Toc127151520"/>
      <w:r/>
      <w:bookmarkStart w:id="142" w:name="_Toc150774725"/>
      <w:r/>
      <w:bookmarkStart w:id="143" w:name="_Toc127161434"/>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12"/>
      <w:r/>
      <w:bookmarkStart w:id="145" w:name="_Toc151193692"/>
      <w:r/>
      <w:bookmarkStart w:id="146" w:name="_Toc151193836"/>
      <w:r/>
      <w:bookmarkStart w:id="147" w:name="_Toc151193764"/>
      <w:r/>
      <w:bookmarkStart w:id="148" w:name="_Toc226337218"/>
      <w:r/>
      <w:bookmarkStart w:id="149" w:name="_Toc151193620"/>
      <w:r/>
      <w:bookmarkStart w:id="150" w:name="_Toc151193910"/>
      <w:r/>
      <w:bookmarkStart w:id="151" w:name="_Toc151190149"/>
      <w:r/>
      <w:bookmarkStart w:id="152" w:name="_Toc150509273"/>
      <w:r/>
      <w:bookmarkStart w:id="153" w:name="_Toc265228360"/>
      <w:r/>
      <w:bookmarkStart w:id="154" w:name="_Toc150480760"/>
      <w:r/>
      <w:bookmarkStart w:id="155" w:name="_Toc150774727"/>
      <w:r/>
      <w:bookmarkStart w:id="156" w:name="_Toc305158864"/>
      <w:r/>
      <w:bookmarkStart w:id="157" w:name="_Toc142311024"/>
      <w:r/>
      <w:bookmarkStart w:id="158" w:name="_Toc195842887"/>
      <w:r/>
      <w:bookmarkStart w:id="159" w:name="_Toc226309766"/>
      <w:r/>
      <w:bookmarkStart w:id="160" w:name="_Toc150774622"/>
      <w:r/>
      <w:bookmarkStart w:id="161" w:name="_Toc264969212"/>
      <w:r/>
      <w:bookmarkStart w:id="162" w:name="_Toc226965795"/>
      <w:r/>
      <w:bookmarkStart w:id="163" w:name="_Toc305158790"/>
      <w:r/>
      <w:bookmarkStart w:id="164" w:name="_Toc520356146"/>
      <w:r/>
      <w:bookmarkStart w:id="165" w:name="_Toc127151522"/>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5"/>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5"/>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70"/>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70"/>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70"/>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51523"/>
      <w:r/>
      <w:bookmarkStart w:id="168" w:name="_Toc150774728"/>
      <w:r/>
      <w:bookmarkStart w:id="169" w:name="_Toc127151724"/>
      <w:r/>
      <w:bookmarkStart w:id="170" w:name="_Toc226337219"/>
      <w:r/>
      <w:bookmarkStart w:id="171" w:name="_Toc164229364"/>
      <w:r/>
      <w:bookmarkStart w:id="172" w:name="_Toc264969213"/>
      <w:r/>
      <w:bookmarkStart w:id="173" w:name="_Toc151193621"/>
      <w:r/>
      <w:bookmarkStart w:id="174" w:name="_Toc520356147"/>
      <w:r/>
      <w:bookmarkStart w:id="175" w:name="_Toc164608637"/>
      <w:r/>
      <w:bookmarkStart w:id="176" w:name="_Toc305158865"/>
      <w:r/>
      <w:bookmarkStart w:id="177" w:name="_Toc151193911"/>
      <w:r/>
      <w:bookmarkStart w:id="178" w:name="_Toc226965713"/>
      <w:r/>
      <w:bookmarkStart w:id="179" w:name="_Toc151193765"/>
      <w:r/>
      <w:bookmarkStart w:id="180" w:name="_Toc127161437"/>
      <w:r/>
      <w:bookmarkStart w:id="181" w:name="_Toc151193693"/>
      <w:r/>
      <w:bookmarkStart w:id="182" w:name="_Toc226309767"/>
      <w:r/>
      <w:bookmarkStart w:id="183" w:name="_Toc265228361"/>
      <w:r/>
      <w:bookmarkStart w:id="184" w:name="_Toc149720816"/>
      <w:r/>
      <w:bookmarkStart w:id="185" w:name="_Toc164351617"/>
      <w:r/>
      <w:bookmarkStart w:id="186" w:name="_Toc226965796"/>
      <w:r/>
      <w:bookmarkStart w:id="187" w:name="_Toc151193837"/>
      <w:r/>
      <w:bookmarkStart w:id="188" w:name="_Toc150480761"/>
      <w:r/>
      <w:bookmarkStart w:id="189" w:name="_Toc195842888"/>
      <w:r/>
      <w:bookmarkStart w:id="190" w:name="_Toc164229218"/>
      <w:r/>
      <w:bookmarkStart w:id="191" w:name="_Toc142311025"/>
      <w:r/>
      <w:bookmarkStart w:id="192" w:name="_Toc150774623"/>
      <w:r/>
      <w:bookmarkStart w:id="193" w:name="_Toc151190150"/>
      <w:r/>
      <w:bookmarkStart w:id="194" w:name="_Toc305158791"/>
      <w:r/>
      <w:bookmarkStart w:id="195" w:name="_Toc150509274"/>
      <w:r/>
      <w:bookmarkStart w:id="196" w:name="_Toc164608792"/>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197" w:name="_Toc127151526"/>
      <w:r/>
      <w:bookmarkStart w:id="198" w:name="_Toc151193840"/>
      <w:r/>
      <w:bookmarkStart w:id="199" w:name="_Toc520356150"/>
      <w:r/>
      <w:bookmarkStart w:id="200" w:name="_Toc226965716"/>
      <w:r/>
      <w:bookmarkStart w:id="201" w:name="_Toc195842891"/>
      <w:r/>
      <w:bookmarkStart w:id="202" w:name="_Toc150480764"/>
      <w:r/>
      <w:bookmarkStart w:id="203" w:name="_Toc151193696"/>
      <w:r/>
      <w:bookmarkStart w:id="204" w:name="_Toc265228364"/>
      <w:r/>
      <w:bookmarkStart w:id="205" w:name="_Toc305158868"/>
      <w:r/>
      <w:bookmarkStart w:id="206" w:name="_Toc150509277"/>
      <w:r/>
      <w:bookmarkStart w:id="207" w:name="_Toc151193914"/>
      <w:r/>
      <w:bookmarkStart w:id="208" w:name="_Toc305158794"/>
      <w:r/>
      <w:bookmarkStart w:id="209" w:name="_Toc142311028"/>
      <w:r/>
      <w:bookmarkStart w:id="210" w:name="_Toc516367020"/>
      <w:r/>
      <w:bookmarkStart w:id="211" w:name="_Toc226337222"/>
      <w:r/>
      <w:bookmarkStart w:id="212" w:name="_Toc151193624"/>
      <w:r/>
      <w:bookmarkStart w:id="213" w:name="_Toc150774731"/>
      <w:r/>
      <w:bookmarkStart w:id="214" w:name="_Toc226965799"/>
      <w:r/>
      <w:bookmarkStart w:id="215" w:name="_Toc150774626"/>
      <w:r/>
      <w:bookmarkStart w:id="216" w:name="_Toc151193768"/>
      <w:r/>
      <w:bookmarkStart w:id="217" w:name="_Toc226309770"/>
      <w:r/>
      <w:bookmarkStart w:id="218" w:name="_Toc151190153"/>
      <w:r/>
      <w:bookmarkStart w:id="219" w:name="_Toc2649692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229222"/>
      <w:r/>
      <w:bookmarkStart w:id="221" w:name="_Toc164351621"/>
      <w:r/>
      <w:bookmarkStart w:id="222" w:name="_Toc150774732"/>
      <w:r/>
      <w:bookmarkStart w:id="223" w:name="_Toc127161441"/>
      <w:r/>
      <w:bookmarkStart w:id="224" w:name="_Toc226337223"/>
      <w:r/>
      <w:bookmarkStart w:id="225" w:name="_Toc164229368"/>
      <w:r/>
      <w:bookmarkStart w:id="226" w:name="_Toc305158869"/>
      <w:r/>
      <w:bookmarkStart w:id="227" w:name="_Toc305158795"/>
      <w:r/>
      <w:bookmarkStart w:id="228" w:name="_Toc520356151"/>
      <w:r/>
      <w:bookmarkStart w:id="229" w:name="_Toc127151728"/>
      <w:r/>
      <w:bookmarkStart w:id="230" w:name="_Toc151190154"/>
      <w:r/>
      <w:bookmarkStart w:id="231" w:name="_Toc149720820"/>
      <w:r/>
      <w:bookmarkStart w:id="232" w:name="_Toc151193915"/>
      <w:r/>
      <w:bookmarkStart w:id="233" w:name="_Toc151193841"/>
      <w:r/>
      <w:bookmarkStart w:id="234" w:name="_Toc151193769"/>
      <w:r/>
      <w:bookmarkStart w:id="235" w:name="_Toc226965717"/>
      <w:r/>
      <w:bookmarkStart w:id="236" w:name="_Toc516367021"/>
      <w:r/>
      <w:bookmarkStart w:id="237" w:name="_Toc150509278"/>
      <w:r/>
      <w:bookmarkStart w:id="238" w:name="_Toc265228365"/>
      <w:r/>
      <w:bookmarkStart w:id="239" w:name="_Toc151193697"/>
      <w:r/>
      <w:bookmarkStart w:id="240" w:name="_Toc264969217"/>
      <w:r/>
      <w:bookmarkStart w:id="241" w:name="_Toc195842892"/>
      <w:r/>
      <w:bookmarkStart w:id="242" w:name="_Toc127151527"/>
      <w:r/>
      <w:bookmarkStart w:id="243" w:name="_Toc226965800"/>
      <w:r/>
      <w:bookmarkStart w:id="244" w:name="_Toc150480765"/>
      <w:r/>
      <w:bookmarkStart w:id="245" w:name="_Toc164608796"/>
      <w:r/>
      <w:bookmarkStart w:id="246" w:name="_Toc151193625"/>
      <w:r/>
      <w:bookmarkStart w:id="247" w:name="_Toc226309771"/>
      <w:r/>
      <w:bookmarkStart w:id="248" w:name="_Toc164608641"/>
      <w:r/>
      <w:bookmarkStart w:id="249" w:name="_Toc150774627"/>
      <w:r/>
      <w:bookmarkStart w:id="250" w:name="_Toc14231102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229223"/>
      <w:r/>
      <w:bookmarkStart w:id="252" w:name="_Toc151193698"/>
      <w:r/>
      <w:bookmarkStart w:id="253" w:name="_Toc127161442"/>
      <w:r/>
      <w:bookmarkStart w:id="254" w:name="_Toc226965718"/>
      <w:r/>
      <w:bookmarkStart w:id="255" w:name="_Toc150509279"/>
      <w:r/>
      <w:bookmarkStart w:id="256" w:name="_Toc305158796"/>
      <w:r/>
      <w:bookmarkStart w:id="257" w:name="_Toc226337224"/>
      <w:r/>
      <w:bookmarkStart w:id="258" w:name="_Ref467306676"/>
      <w:r/>
      <w:bookmarkStart w:id="259" w:name="_Toc516367022"/>
      <w:r/>
      <w:bookmarkStart w:id="260" w:name="_Ref467306195"/>
      <w:r/>
      <w:bookmarkStart w:id="261" w:name="_Toc149720821"/>
      <w:r/>
      <w:bookmarkStart w:id="262" w:name="_Toc151193770"/>
      <w:r/>
      <w:bookmarkStart w:id="263" w:name="_Toc264969218"/>
      <w:r/>
      <w:bookmarkStart w:id="264" w:name="_Toc151193916"/>
      <w:r/>
      <w:bookmarkStart w:id="265" w:name="_Toc150774733"/>
      <w:r/>
      <w:bookmarkStart w:id="266" w:name="_Toc164351622"/>
      <w:r/>
      <w:bookmarkStart w:id="267" w:name="_Toc151193842"/>
      <w:r/>
      <w:bookmarkStart w:id="268" w:name="_Toc127151528"/>
      <w:r/>
      <w:bookmarkStart w:id="269" w:name="_Toc305158870"/>
      <w:r/>
      <w:bookmarkStart w:id="270" w:name="_Toc150774628"/>
      <w:r/>
      <w:bookmarkStart w:id="271" w:name="_Toc142311030"/>
      <w:r/>
      <w:bookmarkStart w:id="272" w:name="_Toc151190155"/>
      <w:r/>
      <w:bookmarkStart w:id="273" w:name="_Toc150480766"/>
      <w:r/>
      <w:bookmarkStart w:id="274" w:name="_Toc226965801"/>
      <w:r/>
      <w:bookmarkStart w:id="275" w:name="_Toc127151729"/>
      <w:r/>
      <w:bookmarkStart w:id="276" w:name="_Toc265228366"/>
      <w:r/>
      <w:bookmarkStart w:id="277" w:name="_Toc164608642"/>
      <w:r/>
      <w:bookmarkStart w:id="278" w:name="_Toc164229369"/>
      <w:r/>
      <w:bookmarkStart w:id="279" w:name="_Toc151193626"/>
      <w:r/>
      <w:bookmarkStart w:id="280" w:name="_Toc195842893"/>
      <w:r/>
      <w:bookmarkStart w:id="281" w:name="_Toc520356152"/>
      <w:r/>
      <w:bookmarkStart w:id="282" w:name="_Toc164608797"/>
      <w:r/>
      <w:bookmarkStart w:id="283" w:name="_Toc22630977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772"/>
      <w:r/>
      <w:bookmarkStart w:id="286" w:name="_Toc151193844"/>
      <w:r/>
      <w:bookmarkStart w:id="287" w:name="_Toc164608799"/>
      <w:r/>
      <w:bookmarkStart w:id="288" w:name="_Toc164229371"/>
      <w:r/>
      <w:bookmarkStart w:id="289" w:name="_Toc127151731"/>
      <w:r/>
      <w:bookmarkStart w:id="290" w:name="_Toc149720823"/>
      <w:r/>
      <w:bookmarkStart w:id="291" w:name="_Toc150774735"/>
      <w:r/>
      <w:bookmarkStart w:id="292" w:name="_Toc127151530"/>
      <w:r/>
      <w:bookmarkStart w:id="293" w:name="_Toc195842895"/>
      <w:r/>
      <w:bookmarkStart w:id="294" w:name="_Toc142311032"/>
      <w:r/>
      <w:bookmarkStart w:id="295" w:name="_Toc151193700"/>
      <w:r/>
      <w:bookmarkStart w:id="296" w:name="_Toc164229225"/>
      <w:r/>
      <w:bookmarkStart w:id="297" w:name="_Toc151193628"/>
      <w:r/>
      <w:bookmarkStart w:id="298" w:name="_Toc164351624"/>
      <w:r/>
      <w:bookmarkStart w:id="299" w:name="_Toc150480768"/>
      <w:r/>
      <w:bookmarkStart w:id="300" w:name="_Toc151190157"/>
      <w:r/>
      <w:bookmarkStart w:id="301" w:name="_Toc150509281"/>
      <w:r/>
      <w:bookmarkStart w:id="302" w:name="_Toc164608644"/>
      <w:r/>
      <w:bookmarkStart w:id="303" w:name="_Toc127161444"/>
      <w:r/>
      <w:bookmarkStart w:id="304" w:name="_Toc150774630"/>
      <w:r/>
      <w:bookmarkStart w:id="305" w:name="_Toc520356155"/>
      <w:r/>
      <w:bookmarkStart w:id="306" w:name="_Toc15119391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49720824"/>
      <w:r/>
      <w:bookmarkStart w:id="308" w:name="_Toc150774736"/>
      <w:r/>
      <w:bookmarkStart w:id="309" w:name="_Toc226309775"/>
      <w:r/>
      <w:bookmarkStart w:id="310" w:name="_Toc195842896"/>
      <w:r/>
      <w:bookmarkStart w:id="311" w:name="_Ref467306513"/>
      <w:r/>
      <w:bookmarkStart w:id="312" w:name="_Toc264969221"/>
      <w:r/>
      <w:bookmarkStart w:id="313" w:name="_Toc305158873"/>
      <w:r/>
      <w:bookmarkStart w:id="314" w:name="_Toc164229372"/>
      <w:r/>
      <w:bookmarkStart w:id="315" w:name="_Toc151193701"/>
      <w:r/>
      <w:bookmarkStart w:id="316" w:name="_Toc151193773"/>
      <w:r/>
      <w:bookmarkStart w:id="317" w:name="_Toc164608800"/>
      <w:r/>
      <w:bookmarkStart w:id="318" w:name="_Toc226337227"/>
      <w:r/>
      <w:bookmarkStart w:id="319" w:name="_Toc151193629"/>
      <w:r/>
      <w:bookmarkStart w:id="320" w:name="_Toc226965721"/>
      <w:r/>
      <w:bookmarkStart w:id="321" w:name="_Toc150509282"/>
      <w:r/>
      <w:bookmarkStart w:id="322" w:name="_Toc164351625"/>
      <w:r/>
      <w:bookmarkStart w:id="323" w:name="_Toc150480769"/>
      <w:r/>
      <w:bookmarkStart w:id="324" w:name="_Toc226965804"/>
      <w:r/>
      <w:bookmarkStart w:id="325" w:name="_Toc151193919"/>
      <w:r/>
      <w:bookmarkStart w:id="326" w:name="_Toc127151732"/>
      <w:r/>
      <w:bookmarkStart w:id="327" w:name="_Toc164229226"/>
      <w:r/>
      <w:bookmarkStart w:id="328" w:name="_Toc305158799"/>
      <w:r/>
      <w:bookmarkStart w:id="329" w:name="_Toc142311033"/>
      <w:r/>
      <w:bookmarkStart w:id="330" w:name="_Toc150774631"/>
      <w:r/>
      <w:bookmarkStart w:id="331" w:name="_Toc520356156"/>
      <w:r/>
      <w:bookmarkStart w:id="332" w:name="_Toc127151531"/>
      <w:r/>
      <w:bookmarkStart w:id="333" w:name="_Toc265228369"/>
      <w:r/>
      <w:bookmarkStart w:id="334" w:name="_Toc164608645"/>
      <w:r/>
      <w:bookmarkStart w:id="335" w:name="_Toc151190158"/>
      <w:r/>
      <w:bookmarkStart w:id="336" w:name="_Toc127161445"/>
      <w:r/>
      <w:bookmarkStart w:id="337" w:name="_Toc1511938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774737"/>
      <w:r/>
      <w:bookmarkStart w:id="339" w:name="_Toc226337228"/>
      <w:r/>
      <w:bookmarkStart w:id="340" w:name="_Toc226309776"/>
      <w:r/>
      <w:bookmarkStart w:id="341" w:name="_Toc150480770"/>
      <w:r/>
      <w:bookmarkStart w:id="342" w:name="_Toc150774632"/>
      <w:r/>
      <w:bookmarkStart w:id="343" w:name="_Toc151193920"/>
      <w:r/>
      <w:bookmarkStart w:id="344" w:name="_Toc151193774"/>
      <w:r/>
      <w:bookmarkStart w:id="345" w:name="_Toc164608646"/>
      <w:r/>
      <w:bookmarkStart w:id="346" w:name="_Toc264969222"/>
      <w:r/>
      <w:bookmarkStart w:id="347" w:name="_Toc151190159"/>
      <w:r/>
      <w:bookmarkStart w:id="348" w:name="_Toc305158800"/>
      <w:r/>
      <w:bookmarkStart w:id="349" w:name="_Toc164229373"/>
      <w:r/>
      <w:bookmarkStart w:id="350" w:name="_Toc164608801"/>
      <w:r/>
      <w:bookmarkStart w:id="351" w:name="_Toc195842897"/>
      <w:r/>
      <w:bookmarkStart w:id="352" w:name="_Toc164229227"/>
      <w:r/>
      <w:bookmarkStart w:id="353" w:name="_Toc151193702"/>
      <w:r/>
      <w:bookmarkStart w:id="354" w:name="_Toc151193630"/>
      <w:r/>
      <w:bookmarkStart w:id="355" w:name="_Toc127151532"/>
      <w:r/>
      <w:bookmarkStart w:id="356" w:name="_Toc151193846"/>
      <w:r/>
      <w:bookmarkStart w:id="357" w:name="_Toc305158874"/>
      <w:r/>
      <w:bookmarkStart w:id="358" w:name="_Toc127151733"/>
      <w:r/>
      <w:bookmarkStart w:id="359" w:name="_Toc226965805"/>
      <w:r/>
      <w:bookmarkStart w:id="360" w:name="_Toc142311034"/>
      <w:r/>
      <w:bookmarkStart w:id="361" w:name="_Toc265228370"/>
      <w:r/>
      <w:bookmarkStart w:id="362" w:name="_Toc226965722"/>
      <w:r/>
      <w:bookmarkStart w:id="363" w:name="_Toc520356157"/>
      <w:r/>
      <w:bookmarkStart w:id="364" w:name="_Toc149720825"/>
      <w:r/>
      <w:bookmarkStart w:id="365" w:name="_Toc150509283"/>
      <w:r/>
      <w:bookmarkStart w:id="366" w:name="_Toc164351626"/>
      <w:r/>
      <w:bookmarkStart w:id="367" w:name="_Toc12716144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921"/>
      <w:r/>
      <w:bookmarkStart w:id="369" w:name="_Toc226965723"/>
      <w:r/>
      <w:bookmarkStart w:id="370" w:name="_Toc127161447"/>
      <w:r/>
      <w:bookmarkStart w:id="371" w:name="_Toc164351627"/>
      <w:r/>
      <w:bookmarkStart w:id="372" w:name="_Toc164608647"/>
      <w:r/>
      <w:bookmarkStart w:id="373" w:name="_Toc150509284"/>
      <w:r/>
      <w:bookmarkStart w:id="374" w:name="_Toc151193631"/>
      <w:r/>
      <w:bookmarkStart w:id="375" w:name="_Toc195842898"/>
      <w:r/>
      <w:bookmarkStart w:id="376" w:name="_Toc164229374"/>
      <w:r/>
      <w:bookmarkStart w:id="377" w:name="_Toc151193775"/>
      <w:r/>
      <w:bookmarkStart w:id="378" w:name="_Toc127151533"/>
      <w:r/>
      <w:bookmarkStart w:id="379" w:name="_Toc226309777"/>
      <w:r/>
      <w:bookmarkStart w:id="380" w:name="_Toc305158875"/>
      <w:r/>
      <w:bookmarkStart w:id="381" w:name="_Toc264969223"/>
      <w:r/>
      <w:bookmarkStart w:id="382" w:name="_Toc151193703"/>
      <w:r/>
      <w:bookmarkStart w:id="383" w:name="_Toc151190160"/>
      <w:r/>
      <w:bookmarkStart w:id="384" w:name="_Toc226337229"/>
      <w:r/>
      <w:bookmarkStart w:id="385" w:name="_Toc150774738"/>
      <w:r/>
      <w:bookmarkStart w:id="386" w:name="_Toc127151734"/>
      <w:r/>
      <w:bookmarkStart w:id="387" w:name="_Toc150480771"/>
      <w:r/>
      <w:bookmarkStart w:id="388" w:name="_Toc150774633"/>
      <w:r/>
      <w:bookmarkStart w:id="389" w:name="_Toc265228371"/>
      <w:r/>
      <w:bookmarkStart w:id="390" w:name="_Toc520356158"/>
      <w:r/>
      <w:bookmarkStart w:id="391" w:name="_Toc226965806"/>
      <w:r/>
      <w:bookmarkStart w:id="392" w:name="_Toc164229228"/>
      <w:r/>
      <w:bookmarkStart w:id="393" w:name="_Toc305158801"/>
      <w:r/>
      <w:bookmarkStart w:id="394" w:name="_Toc149720826"/>
      <w:r/>
      <w:bookmarkStart w:id="395" w:name="_Toc151193847"/>
      <w:r/>
      <w:bookmarkStart w:id="396" w:name="_Toc164608802"/>
      <w:r/>
      <w:bookmarkStart w:id="397" w:name="_Toc142311035"/>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724"/>
      <w:r/>
      <w:bookmarkStart w:id="399" w:name="_Toc151190161"/>
      <w:r/>
      <w:bookmarkStart w:id="400" w:name="_Toc226965807"/>
      <w:r/>
      <w:bookmarkStart w:id="401" w:name="_Toc127151534"/>
      <w:r/>
      <w:bookmarkStart w:id="402" w:name="_Toc150480772"/>
      <w:r/>
      <w:bookmarkStart w:id="403" w:name="_Toc151193922"/>
      <w:r/>
      <w:bookmarkStart w:id="404" w:name="_Toc226337230"/>
      <w:r/>
      <w:bookmarkStart w:id="405" w:name="_Toc151193704"/>
      <w:r/>
      <w:bookmarkStart w:id="406" w:name="_Toc142311036"/>
      <w:r/>
      <w:bookmarkStart w:id="407" w:name="_Toc150774634"/>
      <w:r/>
      <w:bookmarkStart w:id="408" w:name="_Toc151193776"/>
      <w:r/>
      <w:bookmarkStart w:id="409" w:name="_Toc226309778"/>
      <w:r/>
      <w:bookmarkStart w:id="410" w:name="_Toc195842899"/>
      <w:r/>
      <w:bookmarkStart w:id="411" w:name="_Toc151193848"/>
      <w:r/>
      <w:bookmarkStart w:id="412" w:name="_Toc305158876"/>
      <w:r/>
      <w:bookmarkStart w:id="413" w:name="_Toc265228372"/>
      <w:r/>
      <w:bookmarkStart w:id="414" w:name="_Toc520356159"/>
      <w:r/>
      <w:bookmarkStart w:id="415" w:name="_Toc150774739"/>
      <w:r/>
      <w:bookmarkStart w:id="416" w:name="_Toc264969224"/>
      <w:r/>
      <w:bookmarkStart w:id="417" w:name="_Toc151193632"/>
      <w:r/>
      <w:bookmarkStart w:id="418" w:name="_Toc305158802"/>
      <w:r/>
      <w:bookmarkStart w:id="419" w:name="_Toc150509285"/>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351629"/>
      <w:r/>
      <w:bookmarkStart w:id="421" w:name="_Toc264969225"/>
      <w:r/>
      <w:bookmarkStart w:id="422" w:name="_Toc151193923"/>
      <w:r/>
      <w:bookmarkStart w:id="423" w:name="_Toc164229230"/>
      <w:r/>
      <w:bookmarkStart w:id="424" w:name="_Toc265228373"/>
      <w:r/>
      <w:bookmarkStart w:id="425" w:name="_Toc127161449"/>
      <w:r/>
      <w:bookmarkStart w:id="426" w:name="_Toc151190162"/>
      <w:r/>
      <w:bookmarkStart w:id="427" w:name="_Toc305158877"/>
      <w:r/>
      <w:bookmarkStart w:id="428" w:name="_Toc164229376"/>
      <w:r/>
      <w:bookmarkStart w:id="429" w:name="_Toc226965725"/>
      <w:r/>
      <w:bookmarkStart w:id="430" w:name="_Toc226309779"/>
      <w:r/>
      <w:bookmarkStart w:id="431" w:name="_Toc150774740"/>
      <w:r/>
      <w:bookmarkStart w:id="432" w:name="_Toc142311037"/>
      <w:r/>
      <w:bookmarkStart w:id="433" w:name="_Toc151193777"/>
      <w:r/>
      <w:bookmarkStart w:id="434" w:name="_Toc226337231"/>
      <w:r/>
      <w:bookmarkStart w:id="435" w:name="_Toc305158803"/>
      <w:r/>
      <w:bookmarkStart w:id="436" w:name="_Toc151193633"/>
      <w:r/>
      <w:bookmarkStart w:id="437" w:name="_Toc164608804"/>
      <w:r/>
      <w:bookmarkStart w:id="438" w:name="_Toc164608649"/>
      <w:r/>
      <w:bookmarkStart w:id="439" w:name="_Toc149720828"/>
      <w:r/>
      <w:bookmarkStart w:id="440" w:name="_Toc127151535"/>
      <w:r/>
      <w:bookmarkStart w:id="441" w:name="_Toc150509286"/>
      <w:r/>
      <w:bookmarkStart w:id="442" w:name="_Toc520356160"/>
      <w:r/>
      <w:bookmarkStart w:id="443" w:name="_Toc150774635"/>
      <w:r/>
      <w:bookmarkStart w:id="444" w:name="_Toc226965808"/>
      <w:r/>
      <w:bookmarkStart w:id="445" w:name="_Toc151193849"/>
      <w:r/>
      <w:bookmarkStart w:id="446" w:name="_Toc151193705"/>
      <w:r/>
      <w:bookmarkStart w:id="447" w:name="_Toc127151736"/>
      <w:r/>
      <w:bookmarkStart w:id="448" w:name="_Toc150480773"/>
      <w:r/>
      <w:bookmarkStart w:id="449" w:name="_Toc195842900"/>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0163"/>
      <w:r/>
      <w:bookmarkStart w:id="451" w:name="_Toc195842901"/>
      <w:r/>
      <w:bookmarkStart w:id="452" w:name="_Toc226965809"/>
      <w:r/>
      <w:bookmarkStart w:id="453" w:name="_Toc164229377"/>
      <w:r/>
      <w:bookmarkStart w:id="454" w:name="_Toc164351630"/>
      <w:r/>
      <w:bookmarkStart w:id="455" w:name="_Toc226309780"/>
      <w:r/>
      <w:bookmarkStart w:id="456" w:name="_Toc151193634"/>
      <w:r/>
      <w:bookmarkStart w:id="457" w:name="_Toc127161450"/>
      <w:r/>
      <w:bookmarkStart w:id="458" w:name="_Toc305158878"/>
      <w:r/>
      <w:bookmarkStart w:id="459" w:name="_Toc151193706"/>
      <w:r/>
      <w:bookmarkStart w:id="460" w:name="_Toc164229231"/>
      <w:r/>
      <w:bookmarkStart w:id="461" w:name="_Toc150509287"/>
      <w:r/>
      <w:bookmarkStart w:id="462" w:name="_Toc265228374"/>
      <w:r/>
      <w:bookmarkStart w:id="463" w:name="_Toc305158804"/>
      <w:r/>
      <w:bookmarkStart w:id="464" w:name="_Toc226337232"/>
      <w:r/>
      <w:bookmarkStart w:id="465" w:name="_Toc264969226"/>
      <w:r/>
      <w:bookmarkStart w:id="466" w:name="_Toc127151737"/>
      <w:r/>
      <w:bookmarkStart w:id="467" w:name="_Toc151193924"/>
      <w:r/>
      <w:bookmarkStart w:id="468" w:name="_Toc150480774"/>
      <w:r/>
      <w:bookmarkStart w:id="469" w:name="_Toc226965726"/>
      <w:r/>
      <w:bookmarkStart w:id="470" w:name="_Toc164608805"/>
      <w:r/>
      <w:bookmarkStart w:id="471" w:name="_Toc151193850"/>
      <w:r/>
      <w:bookmarkStart w:id="472" w:name="_Toc164608650"/>
      <w:r/>
      <w:bookmarkStart w:id="473" w:name="_Toc150774741"/>
      <w:r/>
      <w:bookmarkStart w:id="474" w:name="_Toc151193778"/>
      <w:r/>
      <w:bookmarkStart w:id="475" w:name="_Toc142311038"/>
      <w:r/>
      <w:bookmarkStart w:id="476" w:name="_Toc520356161"/>
      <w:r/>
      <w:bookmarkStart w:id="477" w:name="_Toc150774636"/>
      <w:r/>
      <w:bookmarkStart w:id="478" w:name="_Toc149720829"/>
      <w:r/>
      <w:bookmarkStart w:id="479" w:name="_Toc12715153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774637"/>
      <w:r/>
      <w:bookmarkStart w:id="481" w:name="_Toc305158879"/>
      <w:r/>
      <w:bookmarkStart w:id="482" w:name="_Toc151190164"/>
      <w:r/>
      <w:bookmarkStart w:id="483" w:name="_Toc151193851"/>
      <w:r/>
      <w:bookmarkStart w:id="484" w:name="_Toc164351631"/>
      <w:r/>
      <w:bookmarkStart w:id="485" w:name="_Toc150509288"/>
      <w:r/>
      <w:bookmarkStart w:id="486" w:name="_Toc264969227"/>
      <w:r/>
      <w:bookmarkStart w:id="487" w:name="_Toc151193925"/>
      <w:r/>
      <w:bookmarkStart w:id="488" w:name="_Toc127151537"/>
      <w:r/>
      <w:bookmarkStart w:id="489" w:name="_Toc226309781"/>
      <w:r/>
      <w:bookmarkStart w:id="490" w:name="_Toc151193707"/>
      <w:r/>
      <w:bookmarkStart w:id="491" w:name="_Toc150480775"/>
      <w:r/>
      <w:bookmarkStart w:id="492" w:name="_Toc226965727"/>
      <w:r/>
      <w:bookmarkStart w:id="493" w:name="_Toc164229378"/>
      <w:r/>
      <w:bookmarkStart w:id="494" w:name="_Toc520356162"/>
      <w:r/>
      <w:bookmarkStart w:id="495" w:name="_Toc151193779"/>
      <w:r/>
      <w:bookmarkStart w:id="496" w:name="_Toc226965810"/>
      <w:r/>
      <w:bookmarkStart w:id="497" w:name="_Toc149720830"/>
      <w:r/>
      <w:bookmarkStart w:id="498" w:name="_Toc164608651"/>
      <w:r/>
      <w:bookmarkStart w:id="499" w:name="_Toc164229232"/>
      <w:r/>
      <w:bookmarkStart w:id="500" w:name="_Toc142311039"/>
      <w:r/>
      <w:bookmarkStart w:id="501" w:name="_Toc164608806"/>
      <w:r/>
      <w:bookmarkStart w:id="502" w:name="_Toc195842902"/>
      <w:r/>
      <w:bookmarkStart w:id="503" w:name="_Toc265228375"/>
      <w:r/>
      <w:bookmarkStart w:id="504" w:name="_Toc150774742"/>
      <w:r/>
      <w:bookmarkStart w:id="505" w:name="_Toc151193635"/>
      <w:r/>
      <w:bookmarkStart w:id="506" w:name="_Toc305158805"/>
      <w:r/>
      <w:bookmarkStart w:id="507" w:name="_Toc226337233"/>
      <w:r/>
      <w:bookmarkStart w:id="508" w:name="_Toc127161451"/>
      <w:r/>
      <w:bookmarkStart w:id="509" w:name="_Toc12715173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264969228"/>
      <w:r/>
      <w:bookmarkStart w:id="511" w:name="_Toc142311040"/>
      <w:r/>
      <w:bookmarkStart w:id="512" w:name="_Toc195842903"/>
      <w:r/>
      <w:bookmarkStart w:id="513" w:name="_Toc150509289"/>
      <w:r/>
      <w:bookmarkStart w:id="514" w:name="_Toc151193636"/>
      <w:r/>
      <w:bookmarkStart w:id="515" w:name="_Toc150774638"/>
      <w:r/>
      <w:bookmarkStart w:id="516" w:name="_Toc151190165"/>
      <w:r/>
      <w:bookmarkStart w:id="517" w:name="_Toc305158806"/>
      <w:r/>
      <w:bookmarkStart w:id="518" w:name="_Toc226337234"/>
      <w:r/>
      <w:bookmarkStart w:id="519" w:name="_Toc151193926"/>
      <w:r/>
      <w:bookmarkStart w:id="520" w:name="_Toc226965728"/>
      <w:r/>
      <w:bookmarkStart w:id="521" w:name="_Toc150480776"/>
      <w:r/>
      <w:bookmarkStart w:id="522" w:name="_Toc150774743"/>
      <w:r/>
      <w:bookmarkStart w:id="523" w:name="_Toc520356163"/>
      <w:r/>
      <w:bookmarkStart w:id="524" w:name="_Toc151193852"/>
      <w:r/>
      <w:bookmarkStart w:id="525" w:name="_Toc127151538"/>
      <w:r/>
      <w:bookmarkStart w:id="526" w:name="_Toc151193708"/>
      <w:r/>
      <w:bookmarkStart w:id="527" w:name="_Toc265228376"/>
      <w:r/>
      <w:bookmarkStart w:id="528" w:name="_Toc305158880"/>
      <w:r/>
      <w:bookmarkStart w:id="529" w:name="_Toc226309782"/>
      <w:r/>
      <w:bookmarkStart w:id="530" w:name="_Toc226965811"/>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4969229"/>
      <w:r/>
      <w:bookmarkStart w:id="533" w:name="_Toc127151740"/>
      <w:r/>
      <w:bookmarkStart w:id="534" w:name="_Toc151193709"/>
      <w:r/>
      <w:bookmarkStart w:id="535" w:name="_Toc127151539"/>
      <w:r/>
      <w:bookmarkStart w:id="536" w:name="_Toc142311041"/>
      <w:r/>
      <w:bookmarkStart w:id="537" w:name="_Toc151193927"/>
      <w:r/>
      <w:bookmarkStart w:id="538" w:name="_Toc164351633"/>
      <w:r/>
      <w:bookmarkStart w:id="539" w:name="_Toc305158807"/>
      <w:r/>
      <w:bookmarkStart w:id="540" w:name="_Toc150480777"/>
      <w:r/>
      <w:bookmarkStart w:id="541" w:name="_Toc265228377"/>
      <w:r/>
      <w:bookmarkStart w:id="542" w:name="_Toc151193637"/>
      <w:r/>
      <w:bookmarkStart w:id="543" w:name="_Toc226965812"/>
      <w:r/>
      <w:bookmarkStart w:id="544" w:name="_Toc520356164"/>
      <w:r/>
      <w:bookmarkStart w:id="545" w:name="_Toc150774639"/>
      <w:r/>
      <w:bookmarkStart w:id="546" w:name="_Toc305158881"/>
      <w:r/>
      <w:bookmarkStart w:id="547" w:name="_Toc151190166"/>
      <w:r/>
      <w:bookmarkStart w:id="548" w:name="_Toc164229380"/>
      <w:r/>
      <w:bookmarkStart w:id="549" w:name="_Toc150774744"/>
      <w:r/>
      <w:bookmarkStart w:id="550" w:name="_Toc226965729"/>
      <w:r/>
      <w:bookmarkStart w:id="551" w:name="_Toc195842904"/>
      <w:r/>
      <w:bookmarkStart w:id="552" w:name="_Toc149720832"/>
      <w:r/>
      <w:bookmarkStart w:id="553" w:name="_Toc151193853"/>
      <w:r/>
      <w:bookmarkStart w:id="554" w:name="_Toc226309783"/>
      <w:r/>
      <w:bookmarkStart w:id="555" w:name="_Toc164608653"/>
      <w:r/>
      <w:bookmarkStart w:id="556" w:name="_Toc150509290"/>
      <w:r/>
      <w:bookmarkStart w:id="557" w:name="_Toc151193781"/>
      <w:r/>
      <w:bookmarkStart w:id="558" w:name="_Toc164229234"/>
      <w:r/>
      <w:bookmarkStart w:id="559" w:name="_Toc127161453"/>
      <w:r/>
      <w:bookmarkStart w:id="560" w:name="_Toc164608808"/>
      <w:r/>
      <w:bookmarkStart w:id="561" w:name="_Toc226337235"/>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305158882"/>
      <w:r/>
      <w:bookmarkStart w:id="564" w:name="_Toc151193928"/>
      <w:r/>
      <w:bookmarkStart w:id="565" w:name="_Toc151193782"/>
      <w:r/>
      <w:bookmarkStart w:id="566" w:name="_Toc305158808"/>
      <w:r/>
      <w:bookmarkStart w:id="567" w:name="_Toc150774640"/>
      <w:r/>
      <w:bookmarkStart w:id="568" w:name="_Toc264969230"/>
      <w:r/>
      <w:bookmarkStart w:id="569" w:name="_Toc164608809"/>
      <w:r/>
      <w:bookmarkStart w:id="570" w:name="_Toc127151741"/>
      <w:r/>
      <w:bookmarkStart w:id="571" w:name="_Toc164351634"/>
      <w:r/>
      <w:bookmarkStart w:id="572" w:name="_Toc127161454"/>
      <w:r/>
      <w:bookmarkStart w:id="573" w:name="_Toc226965730"/>
      <w:r/>
      <w:bookmarkStart w:id="574" w:name="_Toc151190167"/>
      <w:r/>
      <w:bookmarkStart w:id="575" w:name="_Toc195842905"/>
      <w:r/>
      <w:bookmarkStart w:id="576" w:name="_Toc226965813"/>
      <w:r/>
      <w:bookmarkStart w:id="577" w:name="_Toc150509291"/>
      <w:r/>
      <w:bookmarkStart w:id="578" w:name="_Toc265228378"/>
      <w:r/>
      <w:bookmarkStart w:id="579" w:name="_Toc150774745"/>
      <w:r/>
      <w:bookmarkStart w:id="580" w:name="_Toc142311042"/>
      <w:r/>
      <w:bookmarkStart w:id="581" w:name="_Toc151193710"/>
      <w:r/>
      <w:bookmarkStart w:id="582" w:name="_Toc151193854"/>
      <w:r/>
      <w:bookmarkStart w:id="583" w:name="_Toc164608654"/>
      <w:r/>
      <w:bookmarkStart w:id="584" w:name="_Toc164229235"/>
      <w:r/>
      <w:bookmarkStart w:id="585" w:name="_Toc150480778"/>
      <w:r/>
      <w:bookmarkStart w:id="586" w:name="_Toc149720833"/>
      <w:r/>
      <w:bookmarkStart w:id="587" w:name="_Toc226337236"/>
      <w:r/>
      <w:bookmarkStart w:id="588" w:name="_Toc127151540"/>
      <w:r/>
      <w:bookmarkStart w:id="589" w:name="_Toc226309784"/>
      <w:r/>
      <w:bookmarkStart w:id="590" w:name="_Toc164229381"/>
      <w:r/>
      <w:bookmarkStart w:id="591" w:name="_Toc15119363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142311047"/>
      <w:r/>
      <w:bookmarkStart w:id="595" w:name="_Toc226337241"/>
      <w:r/>
      <w:bookmarkStart w:id="596" w:name="_Toc150774645"/>
      <w:r/>
      <w:bookmarkStart w:id="597" w:name="_Toc226965818"/>
      <w:r/>
      <w:bookmarkStart w:id="598" w:name="_Toc150509296"/>
      <w:r/>
      <w:bookmarkStart w:id="599" w:name="_Toc151193715"/>
      <w:r/>
      <w:bookmarkStart w:id="600" w:name="_Toc265228383"/>
      <w:r/>
      <w:bookmarkStart w:id="601" w:name="_Toc151193859"/>
      <w:r/>
      <w:bookmarkStart w:id="602" w:name="_Toc195842910"/>
      <w:r/>
      <w:bookmarkStart w:id="603" w:name="_Toc150480783"/>
      <w:r/>
      <w:bookmarkStart w:id="604" w:name="_Toc151190172"/>
      <w:r/>
      <w:bookmarkStart w:id="605" w:name="_Toc226309789"/>
      <w:r/>
      <w:bookmarkStart w:id="606" w:name="_Toc264969235"/>
      <w:r/>
      <w:bookmarkStart w:id="607" w:name="_Toc305158813"/>
      <w:r/>
      <w:bookmarkStart w:id="608" w:name="_Toc151193933"/>
      <w:r/>
      <w:bookmarkStart w:id="609" w:name="_Toc151193643"/>
      <w:r/>
      <w:bookmarkStart w:id="610" w:name="_Toc150774750"/>
      <w:r/>
      <w:bookmarkStart w:id="611" w:name="_Toc305158887"/>
      <w:r/>
      <w:bookmarkStart w:id="612" w:name="_Toc151193787"/>
      <w:r/>
      <w:bookmarkStart w:id="613" w:name="_Toc226965735"/>
      <w:r/>
      <w:bookmarkStart w:id="614" w:name="_Toc12715154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816"/>
      <w:r/>
      <w:bookmarkStart w:id="616" w:name="_Toc150509298"/>
      <w:r/>
      <w:bookmarkStart w:id="617" w:name="_Toc142311049"/>
      <w:r/>
      <w:bookmarkStart w:id="618" w:name="_Toc226309791"/>
      <w:r/>
      <w:bookmarkStart w:id="619" w:name="_Toc127161461"/>
      <w:r/>
      <w:bookmarkStart w:id="620" w:name="_Toc150480785"/>
      <w:r/>
      <w:bookmarkStart w:id="621" w:name="_Toc127151748"/>
      <w:r/>
      <w:bookmarkStart w:id="622" w:name="_Toc150774647"/>
      <w:r/>
      <w:bookmarkStart w:id="623" w:name="_Toc164608661"/>
      <w:r/>
      <w:bookmarkStart w:id="624" w:name="_Toc151190174"/>
      <w:r/>
      <w:bookmarkStart w:id="625" w:name="_Toc164351641"/>
      <w:r/>
      <w:bookmarkStart w:id="626" w:name="_Toc127151547"/>
      <w:r/>
      <w:bookmarkStart w:id="627" w:name="_Toc195842912"/>
      <w:r/>
      <w:bookmarkStart w:id="628" w:name="_Toc305158889"/>
      <w:r/>
      <w:bookmarkStart w:id="629" w:name="_Toc226965737"/>
      <w:r/>
      <w:bookmarkStart w:id="630" w:name="_Toc226965820"/>
      <w:r/>
      <w:bookmarkStart w:id="631" w:name="_Toc151193935"/>
      <w:r/>
      <w:bookmarkStart w:id="632" w:name="_Toc151193789"/>
      <w:r/>
      <w:bookmarkStart w:id="633" w:name="_Toc164229242"/>
      <w:r/>
      <w:bookmarkStart w:id="634" w:name="_Toc164229388"/>
      <w:r/>
      <w:bookmarkStart w:id="635" w:name="_Toc226337243"/>
      <w:r/>
      <w:bookmarkStart w:id="636" w:name="_Toc151193861"/>
      <w:r/>
      <w:bookmarkStart w:id="637" w:name="_Toc265228385"/>
      <w:r/>
      <w:bookmarkStart w:id="638" w:name="_Toc151193645"/>
      <w:r/>
      <w:bookmarkStart w:id="639" w:name="_Toc151193717"/>
      <w:r/>
      <w:bookmarkStart w:id="640" w:name="_Toc149720840"/>
      <w:r/>
      <w:bookmarkStart w:id="641" w:name="_Toc150774752"/>
      <w:r/>
      <w:bookmarkStart w:id="642" w:name="_Toc264969237"/>
      <w:r/>
      <w:bookmarkStart w:id="643" w:name="_Toc30515881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863"/>
      <w:r/>
      <w:bookmarkStart w:id="645" w:name="_Toc265228387"/>
      <w:r/>
      <w:bookmarkStart w:id="646" w:name="_Toc127151549"/>
      <w:r/>
      <w:bookmarkStart w:id="647" w:name="_Toc305158817"/>
      <w:r/>
      <w:bookmarkStart w:id="648" w:name="_Toc150480787"/>
      <w:r/>
      <w:bookmarkStart w:id="649" w:name="_Toc226965739"/>
      <w:r/>
      <w:bookmarkStart w:id="650" w:name="_Toc151193647"/>
      <w:r/>
      <w:bookmarkStart w:id="651" w:name="_Toc164351643"/>
      <w:r/>
      <w:bookmarkStart w:id="652" w:name="_Ref467307090"/>
      <w:r/>
      <w:bookmarkStart w:id="653" w:name="_Ref467306425"/>
      <w:r/>
      <w:bookmarkStart w:id="654" w:name="_Toc520356176"/>
      <w:r/>
      <w:bookmarkStart w:id="655" w:name="_Toc164608663"/>
      <w:r/>
      <w:bookmarkStart w:id="656" w:name="_Toc127151750"/>
      <w:r/>
      <w:bookmarkStart w:id="657" w:name="_Toc150774649"/>
      <w:r/>
      <w:bookmarkStart w:id="658" w:name="_Toc195842914"/>
      <w:r/>
      <w:bookmarkStart w:id="659" w:name="_Toc164229244"/>
      <w:r/>
      <w:bookmarkStart w:id="660" w:name="_Toc142311051"/>
      <w:r/>
      <w:bookmarkStart w:id="661" w:name="_Toc305158891"/>
      <w:r/>
      <w:bookmarkStart w:id="662" w:name="_Toc151193719"/>
      <w:r/>
      <w:bookmarkStart w:id="663" w:name="_Toc226965822"/>
      <w:r/>
      <w:bookmarkStart w:id="664" w:name="_Toc151190176"/>
      <w:r/>
      <w:bookmarkStart w:id="665" w:name="_Toc164608818"/>
      <w:r/>
      <w:bookmarkStart w:id="666" w:name="_Toc226337245"/>
      <w:r/>
      <w:bookmarkStart w:id="667" w:name="_Toc150509300"/>
      <w:r/>
      <w:bookmarkStart w:id="668" w:name="_Toc264969239"/>
      <w:r/>
      <w:bookmarkStart w:id="669" w:name="_Toc164229390"/>
      <w:r/>
      <w:bookmarkStart w:id="670" w:name="_Toc226309793"/>
      <w:r/>
      <w:bookmarkStart w:id="671" w:name="_Toc150774754"/>
      <w:r/>
      <w:bookmarkStart w:id="672" w:name="_Toc151193791"/>
      <w:r/>
      <w:bookmarkStart w:id="673" w:name="_Toc149720842"/>
      <w:r/>
      <w:bookmarkStart w:id="674" w:name="_Toc127161463"/>
      <w:r/>
      <w:bookmarkStart w:id="675" w:name="_Toc151193937"/>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550"/>
      <w:r/>
      <w:bookmarkStart w:id="677" w:name="_Ref467307204"/>
      <w:r/>
      <w:bookmarkStart w:id="678" w:name="_Toc305158818"/>
      <w:r/>
      <w:bookmarkStart w:id="679" w:name="_Ref467306377"/>
      <w:r/>
      <w:bookmarkStart w:id="680" w:name="_Toc164229391"/>
      <w:r/>
      <w:bookmarkStart w:id="681" w:name="_Toc127161464"/>
      <w:r/>
      <w:bookmarkStart w:id="682" w:name="_Toc150509301"/>
      <w:r/>
      <w:bookmarkStart w:id="683" w:name="_Ref467306978"/>
      <w:r/>
      <w:bookmarkStart w:id="684" w:name="_Toc164608664"/>
      <w:r/>
      <w:bookmarkStart w:id="685" w:name="_Toc151193792"/>
      <w:r/>
      <w:bookmarkStart w:id="686" w:name="_Toc226965823"/>
      <w:r/>
      <w:bookmarkStart w:id="687" w:name="_Toc520356175"/>
      <w:r/>
      <w:bookmarkStart w:id="688" w:name="_Toc151190177"/>
      <w:r/>
      <w:bookmarkStart w:id="689" w:name="_Toc226337246"/>
      <w:r/>
      <w:bookmarkStart w:id="690" w:name="_Toc195842915"/>
      <w:r/>
      <w:bookmarkStart w:id="691" w:name="_Toc226309794"/>
      <w:r/>
      <w:bookmarkStart w:id="692" w:name="_Toc305158892"/>
      <w:r/>
      <w:bookmarkStart w:id="693" w:name="_Ref467307062"/>
      <w:r/>
      <w:bookmarkStart w:id="694" w:name="_Toc127151751"/>
      <w:r/>
      <w:bookmarkStart w:id="695" w:name="_Toc142311052"/>
      <w:r/>
      <w:bookmarkStart w:id="696" w:name="_Toc151193648"/>
      <w:r/>
      <w:bookmarkStart w:id="697" w:name="_Toc151193864"/>
      <w:r/>
      <w:bookmarkStart w:id="698" w:name="_Toc151193720"/>
      <w:r/>
      <w:bookmarkStart w:id="699" w:name="_Toc264969240"/>
      <w:r/>
      <w:bookmarkStart w:id="700" w:name="_Toc151193938"/>
      <w:r/>
      <w:bookmarkStart w:id="701" w:name="_Toc164608819"/>
      <w:r/>
      <w:bookmarkStart w:id="702" w:name="_Toc150774650"/>
      <w:r/>
      <w:bookmarkStart w:id="703" w:name="_Toc150774755"/>
      <w:r/>
      <w:bookmarkStart w:id="704" w:name="_Toc164351644"/>
      <w:r/>
      <w:bookmarkStart w:id="705" w:name="_Toc164229245"/>
      <w:r/>
      <w:bookmarkStart w:id="706" w:name="_Toc150480788"/>
      <w:r/>
      <w:bookmarkStart w:id="707" w:name="_Toc149720843"/>
      <w:r/>
      <w:bookmarkStart w:id="708" w:name="_Toc226965740"/>
      <w:r/>
      <w:bookmarkStart w:id="709" w:name="_Toc265228388"/>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6"/>
          <w:rFonts w:hint="eastAsia" w:ascii="宋体" w:hAnsi="宋体" w:cs="宋体"/>
        </w:rPr>
        <w:t xml:space="preserve">http://gk</w:t>
      </w:r>
      <w:bookmarkStart w:id="710" w:name="_Hlt100654014"/>
      <w:r>
        <w:rPr>
          <w:rStyle w:val="1146"/>
          <w:rFonts w:hint="eastAsia" w:ascii="宋体" w:hAnsi="宋体" w:cs="宋体"/>
        </w:rPr>
        <w:t xml:space="preserve">s</w:t>
      </w:r>
      <w:bookmarkEnd w:id="710"/>
      <w:r>
        <w:rPr>
          <w:rStyle w:val="1146"/>
          <w:rFonts w:hint="eastAsia" w:ascii="宋体" w:hAnsi="宋体" w:cs="宋体"/>
        </w:rPr>
        <w:t xml:space="preserve">.m</w:t>
      </w:r>
      <w:bookmarkStart w:id="711" w:name="_Hlt100653993"/>
      <w:r/>
      <w:bookmarkStart w:id="712" w:name="_Hlt100653994"/>
      <w:r>
        <w:rPr>
          <w:rStyle w:val="1146"/>
          <w:rFonts w:hint="eastAsia" w:ascii="宋体" w:hAnsi="宋体" w:cs="宋体"/>
        </w:rPr>
        <w:t xml:space="preserve">o</w:t>
      </w:r>
      <w:bookmarkEnd w:id="711"/>
      <w:r/>
      <w:bookmarkEnd w:id="712"/>
      <w:r>
        <w:rPr>
          <w:rStyle w:val="1146"/>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142311056"/>
      <w:r/>
      <w:bookmarkStart w:id="714" w:name="_Toc150480792"/>
      <w:r/>
      <w:bookmarkStart w:id="715" w:name="_Toc265228392"/>
      <w:r/>
      <w:bookmarkStart w:id="716" w:name="_Toc353873934"/>
      <w:r/>
      <w:bookmarkStart w:id="717" w:name="_Toc127151554"/>
      <w:r/>
      <w:bookmarkStart w:id="718" w:name="_Toc226965827"/>
      <w:r/>
      <w:bookmarkStart w:id="719" w:name="_Toc305158822"/>
      <w:r/>
      <w:bookmarkStart w:id="720" w:name="_Toc353825544"/>
      <w:r/>
      <w:bookmarkStart w:id="721" w:name="_Toc305158896"/>
      <w:r/>
      <w:bookmarkStart w:id="722" w:name="_Toc264969244"/>
      <w:r/>
      <w:bookmarkStart w:id="723" w:name="_Toc150774759"/>
      <w:r/>
      <w:bookmarkStart w:id="724" w:name="_Toc226337250"/>
      <w:r/>
      <w:bookmarkStart w:id="725" w:name="_Toc35387366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rPr>
                <w:rFonts w:hint="eastAsia" w:ascii="宋体" w:hAnsi="宋体" w:cs="宋体"/>
                <w:sz w:val="24"/>
              </w:rPr>
            </w:r>
            <w:r/>
          </w:p>
          <w:p>
            <w:pPr>
              <w:pStyle w:val="1070"/>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sz w:val="24"/>
              </w:rPr>
            </w:r>
            <w:r/>
          </w:p>
          <w:p>
            <w:pPr>
              <w:pStyle w:val="1070"/>
              <w:tabs>
                <w:tab w:val="left" w:pos="1080" w:leader="none"/>
              </w:tabs>
              <w:rPr>
                <w:rFonts w:hint="eastAsia" w:ascii="宋体" w:hAnsi="宋体" w:cs="宋体"/>
                <w:sz w:val="24"/>
              </w:rPr>
            </w:pPr>
            <w:r>
              <w:rPr>
                <w:rFonts w:hint="eastAsia" w:ascii="宋体" w:hAnsi="宋体" w:cs="宋体"/>
                <w:sz w:val="24"/>
              </w:rPr>
            </w:r>
            <w:r/>
          </w:p>
          <w:p>
            <w:pPr>
              <w:pStyle w:val="1070"/>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rPr>
                <w:rFonts w:hint="eastAsia" w:ascii="宋体" w:hAnsi="宋体" w:cs="宋体"/>
                <w:sz w:val="24"/>
              </w:rPr>
            </w:r>
            <w:r/>
          </w:p>
          <w:p>
            <w:pPr>
              <w:pStyle w:val="1070"/>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61490"/>
      <w:r/>
      <w:bookmarkStart w:id="733" w:name="_Toc353825550"/>
      <w:r/>
      <w:bookmarkStart w:id="734" w:name="_Toc127151779"/>
      <w:r>
        <w:rPr>
          <w:rFonts w:hint="eastAsia" w:ascii="宋体" w:hAnsi="宋体" w:cs="宋体"/>
          <w:sz w:val="24"/>
        </w:rPr>
        <w:br w:type="page" w:clear="all"/>
      </w: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264969231"/>
      <w:r/>
      <w:bookmarkStart w:id="738" w:name="_Toc150774746"/>
      <w:r/>
      <w:bookmarkStart w:id="739" w:name="_Toc164229236"/>
      <w:r/>
      <w:bookmarkStart w:id="740" w:name="_Toc164608810"/>
      <w:r/>
      <w:bookmarkStart w:id="741" w:name="_Toc164351635"/>
      <w:r/>
      <w:bookmarkStart w:id="742" w:name="_Toc150509292"/>
      <w:r/>
      <w:bookmarkStart w:id="743" w:name="_Toc151193783"/>
      <w:r/>
      <w:bookmarkStart w:id="744" w:name="_Toc226965814"/>
      <w:r/>
      <w:bookmarkStart w:id="745" w:name="_Toc226965731"/>
      <w:r/>
      <w:bookmarkStart w:id="746" w:name="_Toc151193855"/>
      <w:r/>
      <w:bookmarkStart w:id="747" w:name="_Toc149720834"/>
      <w:r/>
      <w:bookmarkStart w:id="748" w:name="_Toc127151541"/>
      <w:r/>
      <w:bookmarkStart w:id="749" w:name="_Toc151193929"/>
      <w:r/>
      <w:bookmarkStart w:id="750" w:name="_Toc265228379"/>
      <w:r/>
      <w:bookmarkStart w:id="751" w:name="_Toc127161455"/>
      <w:r/>
      <w:bookmarkStart w:id="752" w:name="_Toc164229382"/>
      <w:r/>
      <w:bookmarkStart w:id="753" w:name="_Toc151193639"/>
      <w:r/>
      <w:bookmarkStart w:id="754" w:name="_Toc142311043"/>
      <w:r/>
      <w:bookmarkStart w:id="755" w:name="_Toc195842906"/>
      <w:r/>
      <w:bookmarkStart w:id="756" w:name="_Toc150480779"/>
      <w:r/>
      <w:bookmarkStart w:id="757" w:name="_Toc305158809"/>
      <w:r/>
      <w:bookmarkStart w:id="758" w:name="_Toc151193711"/>
      <w:r/>
      <w:bookmarkStart w:id="759" w:name="_Toc150774641"/>
      <w:r/>
      <w:bookmarkStart w:id="760" w:name="_Toc226337237"/>
      <w:r/>
      <w:bookmarkStart w:id="761" w:name="_Toc164608655"/>
      <w:r/>
      <w:bookmarkStart w:id="762" w:name="_Toc305158883"/>
      <w:r/>
      <w:bookmarkStart w:id="763" w:name="_Toc127151742"/>
      <w:r/>
      <w:bookmarkStart w:id="764" w:name="_Toc151190168"/>
      <w:r/>
      <w:bookmarkStart w:id="765" w:name="_Toc226309785"/>
      <w:r/>
      <w:bookmarkStart w:id="766" w:name="_Toc353873941"/>
      <w:r/>
      <w:bookmarkStart w:id="767" w:name="_Toc353825551"/>
      <w:r/>
      <w:bookmarkStart w:id="768" w:name="_Toc142311057"/>
      <w:r/>
      <w:bookmarkStart w:id="769" w:name="_Toc265228393"/>
      <w:r/>
      <w:bookmarkStart w:id="770" w:name="_Toc150774760"/>
      <w:r/>
      <w:bookmarkStart w:id="771" w:name="_Toc353825545"/>
      <w:r/>
      <w:bookmarkStart w:id="772" w:name="_Toc226965828"/>
      <w:r/>
      <w:bookmarkStart w:id="773" w:name="_Toc226337251"/>
      <w:r/>
      <w:bookmarkStart w:id="774" w:name="_Toc195842920"/>
      <w:r/>
      <w:bookmarkStart w:id="775" w:name="_Toc305158897"/>
      <w:r/>
      <w:bookmarkStart w:id="776" w:name="_Toc150480793"/>
      <w:r/>
      <w:bookmarkStart w:id="777" w:name="_Toc305158823"/>
      <w:r/>
      <w:bookmarkStart w:id="778" w:name="_Toc353873665"/>
      <w:r/>
      <w:bookmarkStart w:id="779" w:name="_Toc127151555"/>
      <w:r/>
      <w:bookmarkStart w:id="780" w:name="_Toc264969245"/>
      <w:r/>
      <w:bookmarkStart w:id="781" w:name="_Toc35387393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1、投标（响应）报价低于采购项目预算50%的，即投标（响应）报价&lt;采购项目预算×50%；</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2、投标（响应）报价低于采购项目最高限价45%的，即投 标（响应）报价&lt;采购项目最高限价×45%；</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3、评审委员会认定的供应商报价过低、有可能影响产品质 量或者不能诚信履约的其他情形。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w:t>
      </w:r>
      <w:r>
        <w:rPr>
          <w:rFonts w:hint="eastAsia" w:ascii="宋体" w:hAnsi="宋体" w:cs="宋体"/>
          <w:color w:val="000000"/>
          <w:sz w:val="24"/>
        </w:rPr>
        <w:t xml:space="preserve">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ff"/>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w:t>
      </w:r>
      <w:r>
        <w:rPr>
          <w:rFonts w:hint="eastAsia" w:ascii="宋体" w:hAnsi="宋体" w:cs="宋体"/>
          <w:sz w:val="24"/>
        </w:rPr>
        <w:t xml:space="preserve">，必要时提交相关证明材料；若投标人不能证明其报价合理性，评标委员会将其作为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eastAsia="宋体" w:cs="宋体"/>
          <w:color w:val="0000ff"/>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305158888"/>
      <w:r/>
      <w:bookmarkStart w:id="784" w:name="_Toc151190173"/>
      <w:r/>
      <w:bookmarkStart w:id="785" w:name="_Toc264969236"/>
      <w:r/>
      <w:bookmarkStart w:id="786" w:name="_Toc127161460"/>
      <w:r/>
      <w:bookmarkStart w:id="787" w:name="_Ref467307010"/>
      <w:r/>
      <w:bookmarkStart w:id="788" w:name="_Toc149720839"/>
      <w:r/>
      <w:bookmarkStart w:id="789" w:name="_Toc151193860"/>
      <w:r/>
      <w:bookmarkStart w:id="790" w:name="_Toc151193934"/>
      <w:r/>
      <w:bookmarkStart w:id="791" w:name="_Toc151193644"/>
      <w:r/>
      <w:bookmarkStart w:id="792" w:name="_Toc226337242"/>
      <w:r/>
      <w:bookmarkStart w:id="793" w:name="_Toc305158814"/>
      <w:r/>
      <w:bookmarkStart w:id="794" w:name="_Toc164608815"/>
      <w:r/>
      <w:bookmarkStart w:id="795" w:name="_Toc127151747"/>
      <w:r/>
      <w:bookmarkStart w:id="796" w:name="_Toc151193788"/>
      <w:r/>
      <w:bookmarkStart w:id="797" w:name="_Toc195842911"/>
      <w:r/>
      <w:bookmarkStart w:id="798" w:name="_Toc150509297"/>
      <w:r/>
      <w:bookmarkStart w:id="799" w:name="_Toc226965736"/>
      <w:r/>
      <w:bookmarkStart w:id="800" w:name="_Toc164229241"/>
      <w:r/>
      <w:bookmarkStart w:id="801" w:name="_Toc226965819"/>
      <w:r/>
      <w:bookmarkStart w:id="802" w:name="_Toc265228384"/>
      <w:r/>
      <w:bookmarkStart w:id="803" w:name="_Toc164608660"/>
      <w:r/>
      <w:bookmarkStart w:id="804" w:name="_Toc150480784"/>
      <w:r/>
      <w:bookmarkStart w:id="805" w:name="_Toc520356170"/>
      <w:r/>
      <w:bookmarkStart w:id="806" w:name="_Toc150774646"/>
      <w:r/>
      <w:bookmarkStart w:id="807" w:name="_Toc142311048"/>
      <w:r/>
      <w:bookmarkStart w:id="808" w:name="_Toc127151546"/>
      <w:r/>
      <w:bookmarkStart w:id="809" w:name="_Toc151193716"/>
      <w:r/>
      <w:bookmarkStart w:id="810" w:name="_Toc226309790"/>
      <w:r/>
      <w:bookmarkStart w:id="811" w:name="_Toc150774751"/>
      <w:r/>
      <w:bookmarkStart w:id="812" w:name="_Toc164351640"/>
      <w:r/>
      <w:bookmarkStart w:id="813" w:name="_Toc164229387"/>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0"/>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1462" w:type="dxa"/>
            <w:vAlign w:val="center"/>
            <w:textDirection w:val="lrTb"/>
            <w:noWrap w:val="false"/>
          </w:tcPr>
          <w:p>
            <w:pPr>
              <w:pStyle w:val="1070"/>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913" w:type="dxa"/>
            <w:vAlign w:val="center"/>
            <w:textDirection w:val="lrTb"/>
            <w:noWrap w:val="false"/>
          </w:tcPr>
          <w:p>
            <w:pPr>
              <w:pStyle w:val="1070"/>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3978" w:type="dxa"/>
            <w:vAlign w:val="center"/>
            <w:textDirection w:val="lrTb"/>
            <w:noWrap w:val="false"/>
          </w:tcPr>
          <w:p>
            <w:pPr>
              <w:pStyle w:val="1070"/>
              <w:ind w:firstLine="28"/>
              <w:jc w:val="center"/>
              <w:rPr>
                <w:rFonts w:ascii="宋体" w:hAnsi="宋体"/>
                <w:b/>
                <w:sz w:val="24"/>
              </w:rPr>
            </w:pPr>
            <w:r>
              <w:rPr>
                <w:rFonts w:ascii="宋体" w:hAnsi="宋体"/>
                <w:b/>
                <w:sz w:val="24"/>
              </w:rPr>
              <w:t xml:space="preserve">评分标准</w:t>
            </w:r>
            <w:r>
              <w:rPr>
                <w:rFonts w:ascii="宋体" w:hAnsi="宋体"/>
                <w:b/>
                <w:sz w:val="24"/>
              </w:rPr>
            </w:r>
            <w:r/>
          </w:p>
        </w:tc>
        <w:tc>
          <w:tcPr>
            <w:tcW w:w="2440" w:type="dxa"/>
            <w:vAlign w:val="center"/>
            <w:textDirection w:val="lrTb"/>
            <w:noWrap w:val="false"/>
          </w:tcPr>
          <w:p>
            <w:pPr>
              <w:pStyle w:val="1315"/>
              <w:spacing w:before="0" w:after="0" w:line="240" w:lineRule="auto"/>
              <w:rPr>
                <w:rFonts w:ascii="宋体" w:hAnsi="宋体" w:eastAsia="宋体"/>
                <w:szCs w:val="24"/>
              </w:rPr>
            </w:pPr>
            <w:r>
              <w:rPr>
                <w:rFonts w:ascii="宋体" w:hAnsi="宋体" w:eastAsia="宋体"/>
                <w:szCs w:val="24"/>
              </w:rPr>
              <w:t xml:space="preserve">说明</w:t>
            </w:r>
            <w:r>
              <w:rPr>
                <w:rFonts w:ascii="宋体" w:hAnsi="宋体" w:eastAsia="宋体"/>
                <w:szCs w:val="24"/>
              </w:rPr>
            </w:r>
            <w:r/>
          </w:p>
        </w:tc>
      </w:tr>
      <w:tr>
        <w:trPr>
          <w:trHeight w:val="631"/>
        </w:trPr>
        <w:tc>
          <w:tcPr>
            <w:tcW w:w="835" w:type="dxa"/>
            <w:vAlign w:val="center"/>
            <w:textDirection w:val="lrTb"/>
            <w:noWrap w:val="false"/>
          </w:tcPr>
          <w:p>
            <w:pPr>
              <w:pStyle w:val="1070"/>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10</w:t>
            </w:r>
            <w:r>
              <w:rPr>
                <w:rFonts w:ascii="宋体" w:hAnsi="宋体" w:eastAsia="宋体"/>
                <w:sz w:val="24"/>
                <w:lang w:val="en-US" w:eastAsia="zh-CN"/>
              </w:rPr>
            </w:r>
            <w:r/>
          </w:p>
        </w:tc>
        <w:tc>
          <w:tcPr>
            <w:tcW w:w="3978" w:type="dxa"/>
            <w:vAlign w:val="center"/>
            <w:textDirection w:val="lrTb"/>
            <w:noWrap w:val="false"/>
          </w:tcPr>
          <w:p>
            <w:pPr>
              <w:pStyle w:val="1070"/>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rPr>
                <w:rFonts w:ascii="宋体" w:hAnsi="宋体"/>
                <w:sz w:val="24"/>
              </w:rPr>
            </w:r>
            <w:r/>
          </w:p>
          <w:p>
            <w:pPr>
              <w:pStyle w:val="1070"/>
              <w:rPr>
                <w:rFonts w:ascii="宋体" w:hAnsi="宋体"/>
                <w:sz w:val="24"/>
              </w:rPr>
            </w:pPr>
            <w:r>
              <w:rPr>
                <w:rFonts w:ascii="宋体" w:hAnsi="宋体"/>
                <w:sz w:val="24"/>
              </w:rPr>
              <w:t xml:space="preserve">投标报价得分＝（评标基准价/投标报价）×分值。</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2</w:t>
            </w:r>
            <w:r>
              <w:rPr>
                <w:rFonts w:ascii="宋体" w:hAnsi="宋体"/>
                <w:sz w:val="24"/>
              </w:rPr>
              <w:t xml:space="preserve">.4</w:t>
            </w:r>
            <w:r>
              <w:rPr>
                <w:rFonts w:hint="eastAsia" w:ascii="宋体" w:hAnsi="宋体"/>
                <w:sz w:val="24"/>
              </w:rPr>
              <w:t xml:space="preserve">及</w:t>
            </w:r>
            <w:r>
              <w:rPr>
                <w:rFonts w:ascii="宋体" w:hAnsi="宋体"/>
                <w:sz w:val="24"/>
              </w:rPr>
              <w:t xml:space="preserve">2.5。</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ascii="宋体" w:hAnsi="宋体"/>
                <w:sz w:val="24"/>
              </w:rPr>
            </w:r>
            <w:r/>
          </w:p>
        </w:tc>
        <w:tc>
          <w:tcPr>
            <w:tcW w:w="3978" w:type="dxa"/>
            <w:vAlign w:val="center"/>
            <w:textDirection w:val="lrTb"/>
            <w:noWrap w:val="false"/>
          </w:tcPr>
          <w:p>
            <w:pPr>
              <w:pStyle w:val="1070"/>
              <w:rPr>
                <w:rFonts w:ascii="宋体" w:hAnsi="宋体"/>
                <w:sz w:val="24"/>
              </w:rPr>
            </w:pP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项目实施方案</w:t>
            </w:r>
            <w:r>
              <w:rPr>
                <w:rFonts w:ascii="宋体" w:hAnsi="宋体"/>
                <w:sz w:val="24"/>
              </w:rPr>
            </w:r>
            <w:r/>
          </w:p>
        </w:tc>
        <w:tc>
          <w:tcPr>
            <w:tcW w:w="913"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10</w:t>
            </w:r>
            <w:r>
              <w:rPr>
                <w:rFonts w:ascii="宋体" w:hAnsi="宋体" w:eastAsia="宋体"/>
                <w:sz w:val="24"/>
                <w:lang w:val="en-US" w:eastAsia="zh-CN"/>
              </w:rPr>
            </w:r>
            <w:r/>
          </w:p>
        </w:tc>
        <w:tc>
          <w:tcPr>
            <w:tcW w:w="3978" w:type="dxa"/>
            <w:vAlign w:val="center"/>
            <w:textDirection w:val="lrTb"/>
            <w:noWrap w:val="false"/>
          </w:tcPr>
          <w:p>
            <w:pPr>
              <w:pStyle w:val="1070"/>
              <w:rPr>
                <w:rFonts w:ascii="宋体" w:hAnsi="宋体"/>
                <w:b/>
                <w:bCs/>
                <w:sz w:val="24"/>
                <w:lang w:val="en-US" w:eastAsia="zh-CN"/>
              </w:rPr>
            </w:pPr>
            <w:r>
              <w:rPr>
                <w:rFonts w:hint="eastAsia" w:ascii="宋体" w:hAnsi="宋体"/>
                <w:b/>
                <w:bCs/>
                <w:sz w:val="24"/>
                <w:lang w:val="en-US" w:eastAsia="zh-CN"/>
              </w:rPr>
              <w:t xml:space="preserve">评标小组</w:t>
            </w:r>
            <w:r>
              <w:rPr>
                <w:rFonts w:hint="eastAsia" w:ascii="宋体" w:hAnsi="宋体"/>
                <w:b/>
                <w:bCs/>
                <w:sz w:val="24"/>
              </w:rPr>
              <w:t xml:space="preserve">根据投标人针对本项目编制的项目实施方案进行综合打分：</w:t>
            </w:r>
            <w:r>
              <w:rPr>
                <w:rFonts w:hint="eastAsia" w:ascii="宋体" w:hAnsi="宋体"/>
                <w:b/>
                <w:bCs/>
                <w:sz w:val="24"/>
                <w:lang w:val="en-US" w:eastAsia="zh-CN"/>
              </w:rPr>
              <w:t xml:space="preserve">包括但不限于对项目</w:t>
            </w:r>
            <w:r>
              <w:rPr>
                <w:rFonts w:hint="eastAsia" w:ascii="宋体" w:hAnsi="宋体"/>
                <w:b/>
                <w:bCs/>
                <w:sz w:val="24"/>
                <w:lang w:val="en-US" w:eastAsia="zh-CN"/>
              </w:rPr>
              <w:t xml:space="preserve">目标的理解程度、实施方案的可行性</w:t>
            </w:r>
            <w:r>
              <w:rPr>
                <w:rFonts w:hint="eastAsia" w:ascii="宋体" w:hAnsi="宋体"/>
                <w:b/>
                <w:bCs/>
                <w:sz w:val="24"/>
                <w:lang w:val="en-US" w:eastAsia="zh-CN"/>
              </w:rPr>
              <w:t xml:space="preserve">等方面进行考量，确保方案的实际可操作性。</w:t>
            </w:r>
            <w:r>
              <w:rPr>
                <w:rFonts w:ascii="宋体" w:hAnsi="宋体"/>
                <w:b/>
                <w:bCs/>
                <w:sz w:val="24"/>
                <w:lang w:val="en-US" w:eastAsia="zh-CN"/>
              </w:rPr>
            </w:r>
            <w:r/>
          </w:p>
          <w:p>
            <w:pPr>
              <w:pStyle w:val="1070"/>
              <w:rPr>
                <w:rFonts w:hint="eastAsia" w:ascii="宋体" w:hAnsi="宋体"/>
                <w:sz w:val="24"/>
              </w:rPr>
            </w:pPr>
            <w:r>
              <w:rPr>
                <w:rFonts w:hint="eastAsia" w:ascii="宋体" w:hAnsi="宋体"/>
                <w:sz w:val="24"/>
              </w:rPr>
              <w:t xml:space="preserve">投标人提供的项目实施方案内容齐全，条理清晰，对采购需求中猪肉储备原则的各项要求的理解深刻且提供了科学、合理、可操作性强的实施方案的得10分；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投标人提供的项目实施方案内容齐全，条理清晰，对采购需求中猪肉储备原则的各项要求的理解较深刻且提供了可操作性较强的实施方案的得8分；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投标人提供的项目实施方案内容基本齐全，条理基本清晰，对采购需求中猪肉储备原则的各项要求基本理解且提供了具有可操作性的实施方案的得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投标人提供的项目实施方案内容简单，条理不清，对采购需求中猪肉储备原则的各项要求的理解不到位，提供的实施方案简单欠缺的得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rPr>
            </w:r>
            <w:r/>
          </w:p>
          <w:p>
            <w:pPr>
              <w:pStyle w:val="1070"/>
              <w:rPr>
                <w:rFonts w:ascii="宋体" w:hAnsi="宋体"/>
                <w:sz w:val="24"/>
              </w:rPr>
            </w:pPr>
            <w:r>
              <w:rPr>
                <w:rFonts w:hint="eastAsia" w:ascii="宋体" w:hAnsi="宋体"/>
                <w:sz w:val="24"/>
              </w:rPr>
              <w:t xml:space="preserve">未提供不得分。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2.2</w:t>
            </w:r>
            <w:r>
              <w:rPr>
                <w:rFonts w:ascii="宋体" w:hAnsi="宋体" w:eastAsia="宋体"/>
                <w:sz w:val="24"/>
                <w:lang w:val="en-US" w:eastAsia="zh-CN"/>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在库管理方案</w:t>
            </w:r>
            <w:r>
              <w:rPr>
                <w:rFonts w:ascii="宋体" w:hAnsi="宋体"/>
                <w:sz w:val="24"/>
              </w:rPr>
            </w:r>
            <w:r/>
          </w:p>
        </w:tc>
        <w:tc>
          <w:tcPr>
            <w:tcW w:w="913"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10</w:t>
            </w:r>
            <w:r>
              <w:rPr>
                <w:rFonts w:ascii="宋体" w:hAnsi="宋体" w:eastAsia="宋体"/>
                <w:sz w:val="24"/>
                <w:lang w:val="en-US" w:eastAsia="zh-CN"/>
              </w:rPr>
            </w:r>
            <w:r/>
          </w:p>
        </w:tc>
        <w:tc>
          <w:tcPr>
            <w:tcW w:w="3978" w:type="dxa"/>
            <w:vAlign w:val="center"/>
            <w:textDirection w:val="lrTb"/>
            <w:noWrap w:val="false"/>
          </w:tcPr>
          <w:p>
            <w:pPr>
              <w:pStyle w:val="1070"/>
              <w:rPr>
                <w:rFonts w:hint="eastAsia" w:ascii="宋体" w:hAnsi="宋体"/>
                <w:b/>
                <w:bCs/>
                <w:sz w:val="24"/>
              </w:rPr>
            </w:pPr>
            <w:r>
              <w:rPr>
                <w:rFonts w:hint="eastAsia" w:ascii="宋体" w:hAnsi="宋体"/>
                <w:b/>
                <w:bCs/>
                <w:sz w:val="24"/>
                <w:lang w:val="en-US" w:eastAsia="zh-CN"/>
              </w:rPr>
              <w:t xml:space="preserve">评标小组</w:t>
            </w:r>
            <w:r>
              <w:rPr>
                <w:rFonts w:hint="eastAsia" w:ascii="宋体" w:hAnsi="宋体"/>
                <w:b/>
                <w:bCs/>
                <w:sz w:val="24"/>
              </w:rPr>
              <w:t xml:space="preserve">根据投标人针对本项目编制的在库管理方案进行综合打分：包括但不限于专仓(专垛)承储、专人管理、专账记载、挂牌明示，确保账账相符、账实相符、质量良好和储存安全等在库管理措施。</w:t>
            </w:r>
            <w:r>
              <w:rPr>
                <w:rFonts w:hint="eastAsia" w:ascii="宋体" w:hAnsi="宋体"/>
                <w:b/>
                <w:bCs/>
                <w:sz w:val="24"/>
              </w:rPr>
            </w:r>
            <w:r/>
          </w:p>
          <w:p>
            <w:pPr>
              <w:pStyle w:val="1070"/>
              <w:rPr>
                <w:rFonts w:hint="eastAsia" w:ascii="宋体" w:hAnsi="宋体"/>
                <w:sz w:val="24"/>
              </w:rPr>
            </w:pPr>
            <w:r>
              <w:rPr>
                <w:rFonts w:hint="eastAsia" w:ascii="宋体" w:hAnsi="宋体"/>
                <w:sz w:val="24"/>
              </w:rPr>
              <w:t xml:space="preserve">投标人针对以上在库管理的各项要求提供的方案内容齐全，程序规范，可行性强的得10分；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投标人针对以上在库管理的各项要求在库管理方案内容较齐全，程序较规范，可行性较强的得8分；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投标人针对以上在库管理的各项要求在库管理方案内容基本齐全，程序基本规范，具有可行性的得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投标人针对以上在库管理的各项要求在库管理方案内容一般，可行性一般的得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rPr>
            </w:r>
            <w:r/>
          </w:p>
          <w:p>
            <w:pPr>
              <w:pStyle w:val="1070"/>
              <w:rPr>
                <w:rFonts w:ascii="宋体" w:hAnsi="宋体"/>
                <w:sz w:val="24"/>
              </w:rPr>
            </w:pPr>
            <w:r>
              <w:rPr>
                <w:rFonts w:hint="eastAsia" w:ascii="宋体" w:hAnsi="宋体"/>
                <w:sz w:val="24"/>
              </w:rPr>
              <w:t xml:space="preserve">未提供不得分。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2.3</w:t>
            </w:r>
            <w:r>
              <w:rPr>
                <w:rFonts w:ascii="宋体" w:hAnsi="宋体" w:eastAsia="宋体"/>
                <w:sz w:val="24"/>
                <w:lang w:val="en-US" w:eastAsia="zh-CN"/>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轮换管理制度</w:t>
            </w:r>
            <w:r>
              <w:rPr>
                <w:rFonts w:ascii="宋体" w:hAnsi="宋体"/>
                <w:sz w:val="24"/>
              </w:rPr>
            </w:r>
            <w:r/>
          </w:p>
        </w:tc>
        <w:tc>
          <w:tcPr>
            <w:tcW w:w="913"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10</w:t>
            </w:r>
            <w:r>
              <w:rPr>
                <w:rFonts w:ascii="宋体" w:hAnsi="宋体" w:eastAsia="宋体"/>
                <w:sz w:val="24"/>
                <w:lang w:val="en-US" w:eastAsia="zh-CN"/>
              </w:rPr>
            </w:r>
            <w:r/>
          </w:p>
        </w:tc>
        <w:tc>
          <w:tcPr>
            <w:tcW w:w="3978" w:type="dxa"/>
            <w:vAlign w:val="center"/>
            <w:textDirection w:val="lrTb"/>
            <w:noWrap w:val="false"/>
          </w:tcPr>
          <w:p>
            <w:pPr>
              <w:pStyle w:val="1070"/>
              <w:rPr>
                <w:rFonts w:hint="eastAsia" w:ascii="宋体" w:hAnsi="宋体"/>
                <w:b/>
                <w:bCs/>
                <w:sz w:val="24"/>
                <w:lang w:val="en-US" w:eastAsia="zh-CN"/>
              </w:rPr>
            </w:pPr>
            <w:r>
              <w:rPr>
                <w:rFonts w:hint="eastAsia" w:ascii="宋体" w:hAnsi="宋体"/>
                <w:b/>
                <w:bCs/>
                <w:sz w:val="24"/>
                <w:lang w:val="en-US" w:eastAsia="zh-CN"/>
              </w:rPr>
              <w:t xml:space="preserve">评标小组</w:t>
            </w:r>
            <w:r>
              <w:rPr>
                <w:rFonts w:hint="eastAsia" w:ascii="宋体" w:hAnsi="宋体"/>
                <w:b/>
                <w:bCs/>
                <w:sz w:val="24"/>
              </w:rPr>
              <w:t xml:space="preserve">根据投标人针对本项目编制的轮换管理制度进行综合打分：</w:t>
            </w:r>
            <w:r>
              <w:rPr>
                <w:rFonts w:hint="eastAsia" w:ascii="宋体" w:hAnsi="宋体"/>
                <w:b/>
                <w:bCs/>
                <w:sz w:val="24"/>
                <w:lang w:val="en-US" w:eastAsia="zh-CN"/>
              </w:rPr>
              <w:t xml:space="preserve">包括但不限于制定详细的轮换计划，明确轮换周期、数量及操作流程；提供完善的质量检测机制，在每次轮换过程中对物资进行严格的质量检查，保证符合相关标准；建立应急响应机制，针对突发情况能够快速调整轮换计划，保障物资供应的稳定性。  </w:t>
            </w:r>
            <w:r>
              <w:rPr>
                <w:rFonts w:hint="eastAsia" w:ascii="宋体" w:hAnsi="宋体"/>
                <w:b/>
                <w:bCs/>
                <w:sz w:val="24"/>
                <w:lang w:val="en-US" w:eastAsia="zh-CN"/>
              </w:rPr>
            </w:r>
            <w:r/>
          </w:p>
          <w:p>
            <w:pPr>
              <w:pStyle w:val="1070"/>
              <w:rPr>
                <w:rFonts w:hint="eastAsia" w:ascii="宋体" w:hAnsi="宋体"/>
                <w:sz w:val="24"/>
              </w:rPr>
            </w:pPr>
            <w:r>
              <w:rPr>
                <w:rFonts w:hint="eastAsia" w:ascii="宋体" w:hAnsi="宋体"/>
                <w:sz w:val="24"/>
              </w:rPr>
              <w:t xml:space="preserve">投标人提供的轮换管理制度科学合理、内容完善、完全满足采购项目要求中提出的对轮管理的各项要求的得10分；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投标人提供的轮换管理制度较科学合理、内容较完善、能够满足采购项目要求中提出的对轮管理的各项要求的得8分；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投标人提供的轮换管理制度基本科学合理、内容基本完善、基本能够满足采购项目要求中提出的对轮管理的各项要求的得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投标人提供的轮换管理制度科学合理性一般、内容不完善、基本满足采购项目要求中提出的对轮管理的各项要求的得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rPr>
            </w:r>
            <w:r/>
          </w:p>
          <w:p>
            <w:pPr>
              <w:pStyle w:val="1070"/>
              <w:rPr>
                <w:rFonts w:ascii="宋体" w:hAnsi="宋体"/>
                <w:sz w:val="24"/>
              </w:rPr>
            </w:pPr>
            <w:r>
              <w:rPr>
                <w:rFonts w:hint="eastAsia" w:ascii="宋体" w:hAnsi="宋体"/>
                <w:sz w:val="24"/>
              </w:rPr>
              <w:t xml:space="preserve">未提供不得分。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2.4</w:t>
            </w:r>
            <w:r>
              <w:rPr>
                <w:rFonts w:ascii="宋体" w:hAnsi="宋体"/>
                <w:sz w:val="24"/>
                <w:lang w:val="en-US" w:eastAsia="zh-CN"/>
              </w:rPr>
            </w:r>
            <w:r/>
          </w:p>
        </w:tc>
        <w:tc>
          <w:tcPr>
            <w:tcW w:w="1462"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应急措施方案</w:t>
            </w:r>
            <w:r>
              <w:rPr>
                <w:rFonts w:hint="eastAsia" w:ascii="宋体" w:hAnsi="宋体"/>
                <w:sz w:val="24"/>
              </w:rPr>
            </w:r>
            <w:r/>
          </w:p>
        </w:tc>
        <w:tc>
          <w:tcPr>
            <w:tcW w:w="913"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10</w:t>
            </w:r>
            <w:r>
              <w:rPr>
                <w:rFonts w:ascii="宋体" w:hAnsi="宋体"/>
                <w:sz w:val="24"/>
                <w:lang w:val="en-US" w:eastAsia="zh-CN"/>
              </w:rPr>
            </w:r>
            <w:r/>
          </w:p>
        </w:tc>
        <w:tc>
          <w:tcPr>
            <w:tcW w:w="3978" w:type="dxa"/>
            <w:vAlign w:val="center"/>
            <w:textDirection w:val="lrTb"/>
            <w:noWrap w:val="false"/>
          </w:tcPr>
          <w:p>
            <w:pPr>
              <w:pStyle w:val="1070"/>
              <w:rPr>
                <w:rFonts w:ascii="宋体" w:hAnsi="宋体"/>
                <w:b/>
                <w:bCs/>
                <w:sz w:val="24"/>
                <w:lang w:val="en-US" w:eastAsia="zh-CN"/>
              </w:rPr>
            </w:pPr>
            <w:r>
              <w:rPr>
                <w:rFonts w:hint="eastAsia" w:ascii="宋体" w:hAnsi="宋体"/>
                <w:b/>
                <w:bCs/>
                <w:sz w:val="24"/>
                <w:lang w:val="en-US" w:eastAsia="zh-CN"/>
              </w:rPr>
              <w:t xml:space="preserve">评标小组</w:t>
            </w:r>
            <w:r>
              <w:rPr>
                <w:rFonts w:hint="eastAsia" w:ascii="宋体" w:hAnsi="宋体"/>
                <w:b/>
                <w:bCs/>
                <w:sz w:val="24"/>
              </w:rPr>
              <w:t xml:space="preserve">根据投标人针对本项目编制的应急措施方案进行综合打分：</w:t>
            </w:r>
            <w:r>
              <w:rPr>
                <w:rFonts w:hint="eastAsia" w:ascii="宋体" w:hAnsi="宋体"/>
                <w:b/>
                <w:bCs/>
                <w:sz w:val="24"/>
                <w:lang w:val="en-US" w:eastAsia="zh-CN"/>
              </w:rPr>
              <w:t xml:space="preserve">包括但不限于制定全面的应急预案，明确应对各类突发状况的具体措施和流程；提供高效的沟通协调机制，确保在紧急情况下能够迅速联络相关人员并展开行动；具备充足的资源调配能力，根据实际需求灵活调整物资、人力和技术支持。</w:t>
            </w:r>
            <w:r>
              <w:rPr>
                <w:rFonts w:ascii="宋体" w:hAnsi="宋体"/>
                <w:b/>
                <w:bCs/>
                <w:sz w:val="24"/>
                <w:lang w:val="en-US" w:eastAsia="zh-CN"/>
              </w:rPr>
            </w:r>
            <w:r/>
          </w:p>
          <w:p>
            <w:pPr>
              <w:pStyle w:val="1070"/>
              <w:rPr>
                <w:rFonts w:hint="eastAsia" w:ascii="宋体" w:hAnsi="宋体"/>
                <w:sz w:val="24"/>
              </w:rPr>
            </w:pPr>
            <w:r>
              <w:rPr>
                <w:rFonts w:hint="eastAsia" w:ascii="宋体" w:hAnsi="宋体"/>
                <w:sz w:val="24"/>
              </w:rPr>
              <w:t xml:space="preserve">投标人制定的应急措施方案完善、程序规范、在遭遇疫情及其他自然灾害时，提供了有效的应对措施，且承诺所造成的损失由其自行承担的得10分； </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投标人制定的应急措施方案较完善、程序较为规范、在遭遇疫情及其他自然灾害时，提供了比较科学的应对措施，且承诺所造成的损失由其自行承担的得8分； </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投标人制定的应急措施方案基本完善、程序基本规范、在遭遇疫情及其他自然灾害时，提供了应对措施，且承诺所造成的损失由其自行承担的得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投标人制定的应急措施方案不够完善、程序不够规范、在遭遇疫情及其他自然灾害时，提供了比较简单的应对措施，且承诺所造成的损失由其自行承担的得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未提供不得分。</w:t>
            </w:r>
            <w:r>
              <w:rPr>
                <w:rFonts w:hint="eastAsia" w:ascii="宋体" w:hAnsi="宋体"/>
                <w:sz w:val="24"/>
              </w:rPr>
            </w:r>
            <w:r/>
          </w:p>
        </w:tc>
        <w:tc>
          <w:tcPr>
            <w:tcW w:w="2440" w:type="dxa"/>
            <w:vAlign w:val="center"/>
            <w:textDirection w:val="lrTb"/>
            <w:noWrap w:val="false"/>
          </w:tcPr>
          <w:p>
            <w:pPr>
              <w:pStyle w:val="1070"/>
              <w:ind w:left="-38"/>
              <w:rPr>
                <w:rFonts w:ascii="宋体" w:hAnsi="宋体" w:eastAsia="宋体"/>
                <w:sz w:val="24"/>
                <w:lang w:val="en-US" w:eastAsia="zh-CN"/>
              </w:rPr>
            </w:pPr>
            <w:r>
              <w:rPr>
                <w:rFonts w:hint="eastAsia" w:ascii="宋体" w:hAnsi="宋体"/>
                <w:sz w:val="24"/>
              </w:rPr>
              <w:t xml:space="preserve">提供承诺函并加盖投标人公章</w:t>
            </w:r>
            <w:r>
              <w:rPr>
                <w:rFonts w:hint="eastAsia" w:ascii="宋体" w:hAnsi="宋体"/>
                <w:sz w:val="24"/>
                <w:lang w:eastAsia="zh-CN"/>
              </w:rPr>
              <w:t xml:space="preserve">，</w:t>
            </w:r>
            <w:r>
              <w:rPr>
                <w:rFonts w:hint="eastAsia" w:ascii="宋体" w:hAnsi="宋体"/>
                <w:sz w:val="24"/>
                <w:lang w:val="en-US" w:eastAsia="zh-CN"/>
              </w:rPr>
              <w:t xml:space="preserve">否则不得分。</w:t>
            </w:r>
            <w:r>
              <w:rPr>
                <w:rFonts w:ascii="宋体" w:hAnsi="宋体" w:eastAsia="宋体"/>
                <w:sz w:val="24"/>
                <w:lang w:val="en-US" w:eastAsia="zh-CN"/>
              </w:rPr>
            </w:r>
            <w:r/>
          </w:p>
        </w:tc>
      </w:tr>
      <w:tr>
        <w:trPr/>
        <w:tc>
          <w:tcPr>
            <w:tcW w:w="835"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2.5</w:t>
            </w:r>
            <w:r>
              <w:rPr>
                <w:rFonts w:ascii="宋体" w:hAnsi="宋体"/>
                <w:sz w:val="24"/>
                <w:lang w:val="en-US" w:eastAsia="zh-CN"/>
              </w:rPr>
            </w:r>
            <w:r/>
          </w:p>
        </w:tc>
        <w:tc>
          <w:tcPr>
            <w:tcW w:w="1462"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仓库卫生、安全管理制度</w:t>
            </w:r>
            <w:r>
              <w:rPr>
                <w:rFonts w:hint="eastAsia" w:ascii="宋体" w:hAnsi="宋体"/>
                <w:sz w:val="24"/>
              </w:rPr>
            </w:r>
            <w:r/>
          </w:p>
        </w:tc>
        <w:tc>
          <w:tcPr>
            <w:tcW w:w="913"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10</w:t>
            </w:r>
            <w:r>
              <w:rPr>
                <w:rFonts w:ascii="宋体" w:hAnsi="宋体"/>
                <w:sz w:val="24"/>
                <w:lang w:val="en-US" w:eastAsia="zh-CN"/>
              </w:rPr>
            </w:r>
            <w:r/>
          </w:p>
        </w:tc>
        <w:tc>
          <w:tcPr>
            <w:tcW w:w="3978" w:type="dxa"/>
            <w:vAlign w:val="center"/>
            <w:textDirection w:val="lrTb"/>
            <w:noWrap w:val="false"/>
          </w:tcPr>
          <w:p>
            <w:pPr>
              <w:pStyle w:val="1070"/>
              <w:rPr>
                <w:rFonts w:ascii="宋体" w:hAnsi="宋体"/>
                <w:b/>
                <w:bCs/>
                <w:sz w:val="24"/>
                <w:lang w:val="en-US" w:eastAsia="zh-CN"/>
              </w:rPr>
            </w:pPr>
            <w:r>
              <w:rPr>
                <w:rFonts w:hint="eastAsia" w:ascii="宋体" w:hAnsi="宋体"/>
                <w:b/>
                <w:bCs/>
                <w:sz w:val="24"/>
                <w:lang w:val="en-US" w:eastAsia="zh-CN"/>
              </w:rPr>
              <w:t xml:space="preserve">评标小组</w:t>
            </w:r>
            <w:r>
              <w:rPr>
                <w:rFonts w:hint="eastAsia" w:ascii="宋体" w:hAnsi="宋体"/>
                <w:b/>
                <w:bCs/>
                <w:sz w:val="24"/>
              </w:rPr>
              <w:t xml:space="preserve">评委根据投标人针对本项目编制的仓库卫生、安全管理制度进行综合打分：</w:t>
            </w:r>
            <w:r>
              <w:rPr>
                <w:rFonts w:hint="eastAsia" w:ascii="宋体" w:hAnsi="宋体"/>
                <w:b/>
                <w:bCs/>
                <w:sz w:val="24"/>
                <w:lang w:val="en-US" w:eastAsia="zh-CN"/>
              </w:rPr>
              <w:t xml:space="preserve">包括但不限于仓库的日常清洁维护、定期消毒措施、防虫防鼠工作以及货物存储的安全规范等方面。</w:t>
            </w:r>
            <w:r>
              <w:rPr>
                <w:rFonts w:ascii="宋体" w:hAnsi="宋体"/>
                <w:b/>
                <w:bCs/>
                <w:sz w:val="24"/>
                <w:lang w:val="en-US" w:eastAsia="zh-CN"/>
              </w:rPr>
            </w:r>
            <w:r/>
          </w:p>
          <w:p>
            <w:pPr>
              <w:pStyle w:val="1070"/>
              <w:rPr>
                <w:rFonts w:hint="eastAsia" w:ascii="宋体" w:hAnsi="宋体"/>
                <w:sz w:val="24"/>
              </w:rPr>
            </w:pPr>
            <w:r>
              <w:rPr>
                <w:rFonts w:hint="eastAsia" w:ascii="宋体" w:hAnsi="宋体"/>
                <w:sz w:val="24"/>
              </w:rPr>
              <w:t xml:space="preserve">仓库卫生、安全管理制度科学合理、内容完善、切实可行的得10分；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仓库卫生、安全管理制度较科学合理、内容较完善、较切实可行得8分；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仓库卫生、安全管理制度基本科学合理、内容基本完善、具有可行性得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仓库卫生、安全管理制度科学合理性一般、内容不完善、可行性一般的得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未提供不得分。</w:t>
            </w:r>
            <w:r>
              <w:rPr>
                <w:rFonts w:hint="eastAsia"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2.6</w:t>
            </w:r>
            <w:r>
              <w:rPr>
                <w:rFonts w:ascii="宋体" w:hAnsi="宋体"/>
                <w:sz w:val="24"/>
                <w:lang w:val="en-US" w:eastAsia="zh-CN"/>
              </w:rPr>
            </w:r>
            <w:r/>
          </w:p>
        </w:tc>
        <w:tc>
          <w:tcPr>
            <w:tcW w:w="1462"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设备配置、冷库系统方案</w:t>
            </w:r>
            <w:r>
              <w:rPr>
                <w:rFonts w:hint="eastAsia" w:ascii="宋体" w:hAnsi="宋体"/>
                <w:sz w:val="24"/>
              </w:rPr>
            </w:r>
            <w:r/>
          </w:p>
        </w:tc>
        <w:tc>
          <w:tcPr>
            <w:tcW w:w="913"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10</w:t>
            </w:r>
            <w:r>
              <w:rPr>
                <w:rFonts w:ascii="宋体" w:hAnsi="宋体"/>
                <w:sz w:val="24"/>
                <w:lang w:val="en-US" w:eastAsia="zh-CN"/>
              </w:rPr>
            </w:r>
            <w:r/>
          </w:p>
        </w:tc>
        <w:tc>
          <w:tcPr>
            <w:tcW w:w="3978" w:type="dxa"/>
            <w:vAlign w:val="center"/>
            <w:textDirection w:val="lrTb"/>
            <w:noWrap w:val="false"/>
          </w:tcPr>
          <w:p>
            <w:pPr>
              <w:pStyle w:val="1070"/>
              <w:rPr>
                <w:rFonts w:hint="eastAsia" w:ascii="宋体" w:hAnsi="宋体"/>
                <w:b/>
                <w:bCs/>
                <w:sz w:val="24"/>
                <w:lang w:val="en-US" w:eastAsia="zh-CN"/>
              </w:rPr>
            </w:pPr>
            <w:r>
              <w:rPr>
                <w:rFonts w:hint="eastAsia" w:ascii="宋体" w:hAnsi="宋体"/>
                <w:b/>
                <w:bCs/>
                <w:sz w:val="24"/>
                <w:lang w:val="en-US" w:eastAsia="zh-CN"/>
              </w:rPr>
              <w:t xml:space="preserve">评标小组</w:t>
            </w:r>
            <w:r>
              <w:rPr>
                <w:rFonts w:hint="eastAsia" w:ascii="宋体" w:hAnsi="宋体"/>
                <w:b/>
                <w:bCs/>
                <w:sz w:val="24"/>
              </w:rPr>
              <w:t xml:space="preserve">根据投标人针对本项目编制的设备配置、冷库系统方案进行综合打分：</w:t>
            </w:r>
            <w:r>
              <w:rPr>
                <w:rFonts w:hint="eastAsia" w:ascii="宋体" w:hAnsi="宋体"/>
                <w:b/>
                <w:bCs/>
                <w:sz w:val="24"/>
                <w:lang w:val="en-US" w:eastAsia="zh-CN"/>
              </w:rPr>
              <w:t xml:space="preserve">包括但不限于设备的选型合理性、冷库系统的运行稳定性、节能效果以及后期维护的便捷性等方面。</w:t>
            </w:r>
            <w:r>
              <w:rPr>
                <w:rFonts w:hint="eastAsia" w:ascii="宋体" w:hAnsi="宋体"/>
                <w:b/>
                <w:bCs/>
                <w:sz w:val="24"/>
                <w:lang w:val="en-US" w:eastAsia="zh-CN"/>
              </w:rPr>
            </w:r>
            <w:r/>
          </w:p>
          <w:p>
            <w:pPr>
              <w:pStyle w:val="1070"/>
              <w:rPr>
                <w:rFonts w:hint="eastAsia" w:ascii="宋体" w:hAnsi="宋体"/>
                <w:sz w:val="24"/>
              </w:rPr>
            </w:pPr>
            <w:r>
              <w:rPr>
                <w:rFonts w:hint="eastAsia" w:ascii="宋体" w:hAnsi="宋体"/>
                <w:sz w:val="24"/>
              </w:rPr>
              <w:t xml:space="preserve">提供的设备设施齐全、完整合理，冷库系统方案科学合理，完全符合本项目采购需求的得10分；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提供的设备设施较齐全、较完整合理，冷库系统方案较合理，能够满足本项目采购需求的得8分；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提供的设备设施基本齐全、基本完整合理，冷库系统方案基本合理，基本能够满足本项目采购需求的得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提供的设备设施较少，冷库系统方案简单欠缺，基本满足本项目采购需求的得</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未提供不得分。</w:t>
            </w:r>
            <w:r>
              <w:rPr>
                <w:rFonts w:hint="eastAsia"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ascii="宋体" w:hAnsi="宋体"/>
                <w:sz w:val="24"/>
              </w:rPr>
            </w:r>
            <w:r/>
          </w:p>
        </w:tc>
        <w:tc>
          <w:tcPr>
            <w:tcW w:w="3978" w:type="dxa"/>
            <w:vAlign w:val="center"/>
            <w:textDirection w:val="lrTb"/>
            <w:noWrap w:val="false"/>
          </w:tcPr>
          <w:p>
            <w:pPr>
              <w:pStyle w:val="1070"/>
              <w:rPr>
                <w:rFonts w:ascii="宋体" w:hAnsi="宋体"/>
                <w:sz w:val="24"/>
              </w:rPr>
            </w:pP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企业认证</w:t>
            </w:r>
            <w:r>
              <w:rPr>
                <w:rFonts w:ascii="宋体" w:hAnsi="宋体"/>
                <w:sz w:val="24"/>
              </w:rPr>
            </w:r>
            <w:r/>
          </w:p>
        </w:tc>
        <w:tc>
          <w:tcPr>
            <w:tcW w:w="913"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15</w:t>
            </w:r>
            <w:r>
              <w:rPr>
                <w:rFonts w:ascii="宋体" w:hAnsi="宋体" w:eastAsia="宋体"/>
                <w:sz w:val="24"/>
                <w:lang w:val="en-US" w:eastAsia="zh-CN"/>
              </w:rPr>
            </w:r>
            <w:r/>
          </w:p>
        </w:tc>
        <w:tc>
          <w:tcPr>
            <w:tcW w:w="3978" w:type="dxa"/>
            <w:vAlign w:val="center"/>
            <w:textDirection w:val="lrTb"/>
            <w:noWrap w:val="false"/>
          </w:tcPr>
          <w:p>
            <w:pPr>
              <w:pStyle w:val="1070"/>
              <w:rPr>
                <w:rFonts w:ascii="宋体" w:hAnsi="宋体"/>
                <w:sz w:val="24"/>
              </w:rPr>
            </w:pPr>
            <w:r>
              <w:rPr>
                <w:rFonts w:hint="eastAsia" w:ascii="宋体" w:hAnsi="宋体"/>
                <w:sz w:val="24"/>
              </w:rPr>
              <w:t xml:space="preserve">投标人具有有效期内的ISO质量管理体系认证证书、环境管理体系认证书</w:t>
            </w:r>
            <w:r>
              <w:rPr>
                <w:rFonts w:hint="eastAsia" w:ascii="宋体" w:hAnsi="宋体"/>
                <w:sz w:val="24"/>
                <w:lang w:eastAsia="zh-CN"/>
              </w:rPr>
              <w:t xml:space="preserve">、</w:t>
            </w:r>
            <w:r>
              <w:rPr>
                <w:rFonts w:hint="eastAsia" w:ascii="宋体" w:hAnsi="宋体"/>
                <w:sz w:val="24"/>
              </w:rPr>
              <w:t xml:space="preserve">职业健康管理体系证书</w:t>
            </w:r>
            <w:r>
              <w:rPr>
                <w:rFonts w:hint="eastAsia" w:ascii="宋体" w:hAnsi="宋体"/>
                <w:sz w:val="24"/>
                <w:lang w:eastAsia="zh-CN"/>
              </w:rPr>
              <w:t xml:space="preserve">，</w:t>
            </w:r>
            <w:r>
              <w:rPr>
                <w:rFonts w:hint="eastAsia" w:ascii="宋体" w:hAnsi="宋体" w:eastAsia="宋体" w:cs="Times New Roman"/>
                <w:sz w:val="24"/>
              </w:rPr>
              <w:t xml:space="preserve">每提供一份认证</w:t>
            </w:r>
            <w:r>
              <w:rPr>
                <w:rFonts w:hint="eastAsia" w:ascii="宋体" w:hAnsi="宋体"/>
                <w:sz w:val="24"/>
              </w:rPr>
              <w:t xml:space="preserve">证书得</w:t>
            </w:r>
            <w:r>
              <w:rPr>
                <w:rFonts w:hint="eastAsia" w:ascii="宋体" w:hAnsi="宋体"/>
                <w:sz w:val="24"/>
                <w:lang w:val="en-US" w:eastAsia="zh-CN"/>
              </w:rPr>
              <w:t xml:space="preserve">5</w:t>
            </w:r>
            <w:r>
              <w:rPr>
                <w:rFonts w:hint="eastAsia" w:ascii="宋体" w:hAnsi="宋体"/>
                <w:sz w:val="24"/>
              </w:rPr>
              <w:t xml:space="preserve">分，最高得</w:t>
            </w:r>
            <w:r>
              <w:rPr>
                <w:rFonts w:hint="eastAsia" w:ascii="宋体" w:hAnsi="宋体"/>
                <w:sz w:val="24"/>
                <w:lang w:val="en-US" w:eastAsia="zh-CN"/>
              </w:rPr>
              <w:t xml:space="preserve">15</w:t>
            </w:r>
            <w:r>
              <w:rPr>
                <w:rFonts w:hint="eastAsia" w:ascii="宋体" w:hAnsi="宋体"/>
                <w:sz w:val="24"/>
              </w:rPr>
              <w:t xml:space="preserve">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hint="eastAsia" w:ascii="宋体" w:hAnsi="宋体"/>
                <w:sz w:val="24"/>
              </w:rPr>
              <w:t xml:space="preserve">提供相关证明材料扫描件并加盖投标人公章，否则不得分。</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3.2</w:t>
            </w:r>
            <w:r>
              <w:rPr>
                <w:rFonts w:ascii="宋体" w:hAnsi="宋体" w:eastAsia="宋体"/>
                <w:sz w:val="24"/>
                <w:lang w:val="en-US" w:eastAsia="zh-CN"/>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1070"/>
              <w:ind w:firstLine="28"/>
              <w:jc w:val="center"/>
              <w:rPr>
                <w:rFonts w:ascii="宋体" w:hAnsi="宋体" w:eastAsia="宋体"/>
                <w:sz w:val="24"/>
                <w:lang w:val="en-US" w:eastAsia="zh-CN"/>
              </w:rPr>
            </w:pPr>
            <w:r>
              <w:rPr>
                <w:rFonts w:hint="eastAsia" w:ascii="宋体" w:hAnsi="宋体"/>
                <w:sz w:val="24"/>
                <w:lang w:val="en-US" w:eastAsia="zh-CN"/>
              </w:rPr>
              <w:t xml:space="preserve">3</w:t>
            </w:r>
            <w:r>
              <w:rPr>
                <w:rFonts w:ascii="宋体" w:hAnsi="宋体" w:eastAsia="宋体"/>
                <w:sz w:val="24"/>
                <w:lang w:val="en-US" w:eastAsia="zh-CN"/>
              </w:rPr>
            </w:r>
            <w:r/>
          </w:p>
        </w:tc>
        <w:tc>
          <w:tcPr>
            <w:tcW w:w="3978" w:type="dxa"/>
            <w:vAlign w:val="center"/>
            <w:textDirection w:val="lrTb"/>
            <w:noWrap w:val="false"/>
          </w:tcPr>
          <w:p>
            <w:pPr>
              <w:pStyle w:val="1070"/>
              <w:rPr>
                <w:rFonts w:ascii="宋体" w:hAnsi="宋体"/>
                <w:sz w:val="24"/>
              </w:rPr>
            </w:pPr>
            <w:r>
              <w:rPr>
                <w:rFonts w:hint="eastAsia" w:ascii="宋体" w:hAnsi="宋体"/>
                <w:sz w:val="24"/>
                <w:lang w:val="en-US" w:eastAsia="zh-CN"/>
              </w:rPr>
              <w:t xml:space="preserve">投标人</w:t>
            </w:r>
            <w:r>
              <w:rPr>
                <w:rFonts w:hint="eastAsia" w:ascii="宋体" w:hAnsi="宋体"/>
                <w:sz w:val="24"/>
              </w:rPr>
              <w:t xml:space="preserve">自202</w:t>
            </w:r>
            <w:r>
              <w:rPr>
                <w:rFonts w:hint="eastAsia" w:ascii="宋体" w:hAnsi="宋体"/>
                <w:sz w:val="24"/>
                <w:lang w:val="en-US" w:eastAsia="zh-CN"/>
              </w:rPr>
              <w:t xml:space="preserve">2</w:t>
            </w:r>
            <w:r>
              <w:rPr>
                <w:rFonts w:hint="eastAsia" w:ascii="宋体" w:hAnsi="宋体"/>
                <w:sz w:val="24"/>
              </w:rPr>
              <w:t xml:space="preserve">年1月1日以来（以合同签订日期为准）承接过的类似项目业绩，每提供一份有效业绩合同得</w:t>
            </w:r>
            <w:r>
              <w:rPr>
                <w:rFonts w:hint="eastAsia" w:ascii="宋体" w:hAnsi="宋体"/>
                <w:sz w:val="24"/>
                <w:lang w:val="en-US" w:eastAsia="zh-CN"/>
              </w:rPr>
              <w:t xml:space="preserve">1</w:t>
            </w:r>
            <w:r>
              <w:rPr>
                <w:rFonts w:hint="eastAsia" w:ascii="宋体" w:hAnsi="宋体"/>
                <w:sz w:val="24"/>
              </w:rPr>
              <w:t xml:space="preserve">分，本项最高得</w:t>
            </w:r>
            <w:r>
              <w:rPr>
                <w:rFonts w:hint="eastAsia" w:ascii="宋体" w:hAnsi="宋体"/>
                <w:sz w:val="24"/>
                <w:lang w:val="en-US" w:eastAsia="zh-CN"/>
              </w:rPr>
              <w:t xml:space="preserve">3</w:t>
            </w:r>
            <w:r>
              <w:rPr>
                <w:rFonts w:hint="eastAsia" w:ascii="宋体" w:hAnsi="宋体"/>
                <w:sz w:val="24"/>
              </w:rPr>
              <w:t xml:space="preserve">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hint="eastAsia" w:ascii="宋体" w:hAnsi="宋体"/>
                <w:sz w:val="24"/>
              </w:rPr>
              <w:t xml:space="preserve">提供上述有效业绩合同扫描件并加盖投标人公章</w:t>
            </w:r>
            <w:r>
              <w:rPr>
                <w:rFonts w:hint="eastAsia" w:ascii="宋体" w:hAnsi="宋体"/>
                <w:sz w:val="24"/>
                <w:lang w:eastAsia="zh-CN"/>
              </w:rPr>
              <w:t xml:space="preserve">，</w:t>
            </w:r>
            <w:r>
              <w:rPr>
                <w:rFonts w:hint="eastAsia" w:ascii="宋体" w:hAnsi="宋体"/>
                <w:sz w:val="24"/>
                <w:lang w:val="en-US" w:eastAsia="zh-CN"/>
              </w:rPr>
              <w:t xml:space="preserve">否则不得分</w:t>
            </w:r>
            <w:r>
              <w:rPr>
                <w:rFonts w:hint="eastAsia" w:ascii="宋体" w:hAnsi="宋体"/>
                <w:sz w:val="24"/>
              </w:rPr>
              <w:t xml:space="preserve">。</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3.3</w:t>
            </w:r>
            <w:r>
              <w:rPr>
                <w:rFonts w:ascii="宋体" w:hAnsi="宋体"/>
                <w:sz w:val="24"/>
                <w:lang w:val="en-US" w:eastAsia="zh-CN"/>
              </w:rPr>
            </w:r>
            <w:r/>
          </w:p>
        </w:tc>
        <w:tc>
          <w:tcPr>
            <w:tcW w:w="1462" w:type="dxa"/>
            <w:vAlign w:val="center"/>
            <w:textDirection w:val="lrTb"/>
            <w:noWrap w:val="false"/>
          </w:tcPr>
          <w:p>
            <w:pPr>
              <w:pStyle w:val="1070"/>
              <w:ind w:firstLine="28"/>
              <w:jc w:val="center"/>
              <w:rPr>
                <w:rFonts w:hint="eastAsia" w:ascii="宋体" w:hAnsi="宋体" w:eastAsia="宋体"/>
                <w:sz w:val="24"/>
                <w:lang w:eastAsia="zh-CN"/>
              </w:rPr>
            </w:pPr>
            <w:r>
              <w:rPr>
                <w:rFonts w:hint="eastAsia" w:ascii="宋体" w:hAnsi="宋体"/>
                <w:sz w:val="24"/>
              </w:rPr>
              <w:t xml:space="preserve">冻猪肉和冷鲜肉专仓储备</w:t>
            </w:r>
            <w:r>
              <w:rPr>
                <w:rFonts w:hint="eastAsia" w:ascii="宋体" w:hAnsi="宋体"/>
                <w:sz w:val="24"/>
                <w:lang w:val="en-US" w:eastAsia="zh-CN"/>
              </w:rPr>
              <w:t xml:space="preserve">能力</w:t>
            </w:r>
            <w:r>
              <w:rPr>
                <w:rFonts w:hint="eastAsia" w:ascii="宋体" w:hAnsi="宋体" w:eastAsia="宋体"/>
                <w:sz w:val="24"/>
                <w:lang w:eastAsia="zh-CN"/>
              </w:rPr>
            </w:r>
            <w:r/>
          </w:p>
        </w:tc>
        <w:tc>
          <w:tcPr>
            <w:tcW w:w="913" w:type="dxa"/>
            <w:vAlign w:val="center"/>
            <w:textDirection w:val="lrTb"/>
            <w:noWrap w:val="false"/>
          </w:tcPr>
          <w:p>
            <w:pPr>
              <w:pStyle w:val="1070"/>
              <w:ind w:firstLine="28"/>
              <w:jc w:val="center"/>
              <w:rPr>
                <w:rFonts w:hint="eastAsia" w:ascii="宋体" w:hAnsi="宋体" w:eastAsia="宋体"/>
                <w:sz w:val="24"/>
                <w:lang w:val="en-US" w:eastAsia="zh-CN"/>
              </w:rPr>
            </w:pPr>
            <w:r>
              <w:rPr>
                <w:rFonts w:hint="eastAsia" w:ascii="宋体" w:hAnsi="宋体"/>
                <w:sz w:val="24"/>
                <w:lang w:val="en-US" w:eastAsia="zh-CN"/>
              </w:rPr>
              <w:t xml:space="preserve">9</w:t>
            </w:r>
            <w:r>
              <w:rPr>
                <w:rFonts w:hint="eastAsia" w:ascii="宋体" w:hAnsi="宋体" w:eastAsia="宋体"/>
                <w:sz w:val="24"/>
                <w:lang w:val="en-US" w:eastAsia="zh-CN"/>
              </w:rPr>
            </w:r>
            <w:r/>
          </w:p>
        </w:tc>
        <w:tc>
          <w:tcPr>
            <w:tcW w:w="3978" w:type="dxa"/>
            <w:vAlign w:val="center"/>
            <w:textDirection w:val="lrTb"/>
            <w:noWrap w:val="false"/>
          </w:tcPr>
          <w:p>
            <w:pPr>
              <w:pStyle w:val="1070"/>
              <w:rPr>
                <w:rFonts w:hint="eastAsia" w:ascii="宋体" w:hAnsi="宋体"/>
                <w:sz w:val="24"/>
              </w:rPr>
            </w:pPr>
            <w:r>
              <w:rPr>
                <w:rFonts w:hint="eastAsia" w:ascii="宋体" w:hAnsi="宋体"/>
                <w:sz w:val="24"/>
              </w:rPr>
              <w:t xml:space="preserve">冻猪肉和冷鲜肉储备量在400吨及以上的，得9分；</w:t>
            </w:r>
            <w:r>
              <w:rPr>
                <w:rFonts w:hint="eastAsia" w:ascii="宋体" w:hAnsi="宋体"/>
                <w:sz w:val="24"/>
              </w:rPr>
            </w:r>
            <w:r/>
          </w:p>
          <w:p>
            <w:pPr>
              <w:pStyle w:val="1070"/>
              <w:rPr>
                <w:rFonts w:hint="eastAsia" w:ascii="宋体" w:hAnsi="宋体"/>
                <w:sz w:val="24"/>
              </w:rPr>
            </w:pPr>
            <w:r>
              <w:rPr>
                <w:rFonts w:hint="eastAsia" w:ascii="宋体" w:hAnsi="宋体"/>
                <w:sz w:val="24"/>
              </w:rPr>
              <w:t xml:space="preserve">冻猪肉和冷鲜肉储备量在300吨（含）-400吨（不含）的，得6分；</w:t>
            </w:r>
            <w:r>
              <w:rPr>
                <w:rFonts w:hint="eastAsia" w:ascii="宋体" w:hAnsi="宋体"/>
                <w:sz w:val="24"/>
              </w:rPr>
            </w:r>
            <w:r/>
          </w:p>
          <w:p>
            <w:pPr>
              <w:pStyle w:val="1070"/>
              <w:rPr>
                <w:rFonts w:hint="eastAsia" w:ascii="宋体" w:hAnsi="宋体" w:eastAsia="宋体"/>
                <w:sz w:val="24"/>
                <w:lang w:val="en-US" w:eastAsia="zh-CN"/>
              </w:rPr>
            </w:pPr>
            <w:r>
              <w:rPr>
                <w:rFonts w:hint="eastAsia" w:ascii="宋体" w:hAnsi="宋体"/>
                <w:sz w:val="24"/>
              </w:rPr>
              <w:t xml:space="preserve">冻猪肉和冷鲜肉储备量在200吨（含）-300吨（不含）的，得3分</w:t>
            </w:r>
            <w:r>
              <w:rPr>
                <w:rFonts w:hint="eastAsia" w:ascii="宋体" w:hAnsi="宋体"/>
                <w:sz w:val="24"/>
                <w:lang w:eastAsia="zh-CN"/>
              </w:rPr>
              <w:t xml:space="preserve">。</w:t>
            </w:r>
            <w:r>
              <w:rPr>
                <w:rFonts w:hint="eastAsia" w:ascii="宋体" w:hAnsi="宋体" w:eastAsia="宋体"/>
                <w:sz w:val="24"/>
                <w:lang w:val="en-US" w:eastAsia="zh-CN"/>
              </w:rPr>
            </w:r>
            <w:r/>
          </w:p>
        </w:tc>
        <w:tc>
          <w:tcPr>
            <w:tcW w:w="2440" w:type="dxa"/>
            <w:vAlign w:val="center"/>
            <w:textDirection w:val="lrTb"/>
            <w:noWrap w:val="false"/>
          </w:tcPr>
          <w:p>
            <w:pPr>
              <w:pStyle w:val="1070"/>
              <w:ind w:left="-38"/>
              <w:rPr>
                <w:rFonts w:ascii="宋体" w:hAnsi="宋体"/>
                <w:sz w:val="24"/>
              </w:rPr>
            </w:pPr>
            <w:r>
              <w:rPr>
                <w:rFonts w:hint="eastAsia" w:ascii="宋体" w:hAnsi="宋体"/>
                <w:sz w:val="24"/>
              </w:rPr>
              <w:t xml:space="preserve">提供相关证明材料扫描件并加盖</w:t>
            </w:r>
            <w:r>
              <w:rPr>
                <w:rFonts w:hint="eastAsia" w:ascii="宋体" w:hAnsi="宋体"/>
                <w:sz w:val="24"/>
                <w:lang w:val="en-US" w:eastAsia="zh-CN"/>
              </w:rPr>
              <w:t xml:space="preserve">投标人</w:t>
            </w:r>
            <w:r>
              <w:rPr>
                <w:rFonts w:hint="eastAsia" w:ascii="宋体" w:hAnsi="宋体"/>
                <w:sz w:val="24"/>
              </w:rPr>
              <w:t xml:space="preserve">公章，否则不得分。</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lang w:val="en-US" w:eastAsia="zh-CN"/>
              </w:rPr>
            </w:pPr>
            <w:r>
              <w:rPr>
                <w:rFonts w:hint="eastAsia" w:ascii="宋体" w:hAnsi="宋体"/>
                <w:sz w:val="24"/>
                <w:lang w:val="en-US" w:eastAsia="zh-CN"/>
              </w:rPr>
              <w:t xml:space="preserve">3.4</w:t>
            </w:r>
            <w:r>
              <w:rPr>
                <w:rFonts w:ascii="宋体" w:hAnsi="宋体"/>
                <w:sz w:val="24"/>
                <w:lang w:val="en-US" w:eastAsia="zh-CN"/>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服务响应时间</w:t>
            </w:r>
            <w:r>
              <w:rPr>
                <w:rFonts w:ascii="宋体" w:hAnsi="宋体"/>
                <w:sz w:val="24"/>
              </w:rPr>
            </w:r>
            <w:r/>
          </w:p>
        </w:tc>
        <w:tc>
          <w:tcPr>
            <w:tcW w:w="913" w:type="dxa"/>
            <w:vAlign w:val="center"/>
            <w:textDirection w:val="lrTb"/>
            <w:noWrap w:val="false"/>
          </w:tcPr>
          <w:p>
            <w:pPr>
              <w:pStyle w:val="1070"/>
              <w:ind w:firstLine="28"/>
              <w:jc w:val="center"/>
              <w:rPr>
                <w:rFonts w:hint="eastAsia" w:ascii="宋体" w:hAnsi="宋体" w:eastAsia="宋体"/>
                <w:sz w:val="24"/>
                <w:lang w:val="en-US" w:eastAsia="zh-CN"/>
              </w:rPr>
            </w:pPr>
            <w:r>
              <w:rPr>
                <w:rFonts w:hint="eastAsia" w:ascii="宋体" w:hAnsi="宋体"/>
                <w:sz w:val="24"/>
                <w:lang w:val="en-US" w:eastAsia="zh-CN"/>
              </w:rPr>
              <w:t xml:space="preserve">3</w:t>
            </w:r>
            <w:r>
              <w:rPr>
                <w:rFonts w:hint="eastAsia" w:ascii="宋体" w:hAnsi="宋体" w:eastAsia="宋体"/>
                <w:sz w:val="24"/>
                <w:lang w:val="en-US" w:eastAsia="zh-CN"/>
              </w:rPr>
            </w:r>
            <w:r/>
          </w:p>
        </w:tc>
        <w:tc>
          <w:tcPr>
            <w:tcW w:w="3978" w:type="dxa"/>
            <w:vAlign w:val="center"/>
            <w:textDirection w:val="lrTb"/>
            <w:noWrap w:val="false"/>
          </w:tcPr>
          <w:p>
            <w:pPr>
              <w:pStyle w:val="1070"/>
              <w:rPr>
                <w:rFonts w:ascii="宋体" w:hAnsi="宋体"/>
                <w:sz w:val="24"/>
              </w:rPr>
            </w:pPr>
            <w:r>
              <w:rPr>
                <w:rFonts w:hint="eastAsia" w:ascii="宋体" w:hAnsi="宋体"/>
                <w:sz w:val="24"/>
              </w:rPr>
              <w:t xml:space="preserve">为保证后期服务及时到位，投标人承诺在接到采购人通知后3小时内作出响应的得3分；5小时内作出响应的得1分；其他不得分。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hint="eastAsia" w:ascii="宋体" w:hAnsi="宋体"/>
                <w:sz w:val="24"/>
              </w:rPr>
              <w:t xml:space="preserve">提供承诺函并加盖投标人公章，否则不得分。</w:t>
            </w:r>
            <w:r>
              <w:rPr>
                <w:rFonts w:ascii="宋体" w:hAnsi="宋体"/>
                <w:sz w:val="24"/>
              </w:rPr>
            </w:r>
            <w:r/>
          </w:p>
        </w:tc>
      </w:tr>
      <w:tr>
        <w:trPr/>
        <w:tc>
          <w:tcPr>
            <w:gridSpan w:val="2"/>
            <w:tcW w:w="2297" w:type="dxa"/>
            <w:vAlign w:val="center"/>
            <w:textDirection w:val="lrTb"/>
            <w:noWrap w:val="false"/>
          </w:tcPr>
          <w:p>
            <w:pPr>
              <w:pStyle w:val="1070"/>
              <w:ind w:firstLine="28"/>
              <w:jc w:val="center"/>
              <w:rPr>
                <w:rFonts w:ascii="宋体" w:hAnsi="宋体"/>
                <w:sz w:val="24"/>
              </w:rPr>
            </w:pPr>
            <w:r>
              <w:rPr>
                <w:rFonts w:ascii="宋体" w:hAnsi="宋体"/>
                <w:sz w:val="24"/>
              </w:rPr>
              <w:t xml:space="preserve">合计</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ascii="宋体" w:hAnsi="宋体"/>
                <w:sz w:val="24"/>
              </w:rPr>
              <w:t xml:space="preserve">100</w:t>
            </w:r>
            <w:r>
              <w:rPr>
                <w:rFonts w:ascii="宋体" w:hAnsi="宋体"/>
                <w:sz w:val="24"/>
              </w:rPr>
            </w:r>
            <w:r/>
          </w:p>
        </w:tc>
        <w:tc>
          <w:tcPr>
            <w:gridSpan w:val="2"/>
            <w:tcW w:w="6418" w:type="dxa"/>
            <w:vAlign w:val="center"/>
            <w:textDirection w:val="lrTb"/>
            <w:noWrap w:val="false"/>
          </w:tcPr>
          <w:p>
            <w:pPr>
              <w:pStyle w:val="1070"/>
              <w:rPr>
                <w:rFonts w:ascii="宋体" w:hAnsi="宋体"/>
                <w:sz w:val="24"/>
              </w:rPr>
            </w:pPr>
            <w:r>
              <w:rPr>
                <w:rFonts w:ascii="宋体" w:hAnsi="宋体"/>
                <w:sz w:val="24"/>
              </w:rPr>
            </w:r>
            <w:r/>
          </w:p>
        </w:tc>
      </w:tr>
    </w:tbl>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0"/>
        <w:contextualSpacing/>
        <w:spacing w:line="360" w:lineRule="auto"/>
        <w:rPr>
          <w:rFonts w:ascii="宋体" w:hAnsi="宋体"/>
          <w:sz w:val="24"/>
        </w:rPr>
      </w:pPr>
      <w:r>
        <w:rPr>
          <w:rFonts w:ascii="宋体" w:hAnsi="宋体"/>
          <w:sz w:val="24"/>
        </w:rPr>
      </w:r>
      <w:r/>
    </w:p>
    <w:p>
      <w:pPr>
        <w:pStyle w:val="1165"/>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一、</w:t>
      </w:r>
      <w:r>
        <w:rPr>
          <w:rFonts w:hint="eastAsia" w:ascii="宋体" w:hAnsi="宋体"/>
          <w:b/>
          <w:sz w:val="24"/>
          <w:szCs w:val="24"/>
          <w:lang w:val="en-US" w:eastAsia="zh-CN"/>
        </w:rPr>
        <w:t xml:space="preserve">项目</w:t>
      </w:r>
      <w:r>
        <w:rPr>
          <w:rFonts w:hint="eastAsia" w:ascii="宋体" w:hAnsi="宋体"/>
          <w:b/>
          <w:sz w:val="24"/>
          <w:szCs w:val="24"/>
          <w:lang w:val="en-US" w:eastAsia="zh-CN"/>
        </w:rPr>
        <w:t xml:space="preserve">概况</w:t>
      </w:r>
      <w:r>
        <w:rPr>
          <w:rFonts w:ascii="宋体" w:hAnsi="宋体"/>
          <w:b/>
          <w:sz w:val="24"/>
          <w:szCs w:val="24"/>
        </w:rPr>
      </w:r>
      <w:r/>
    </w:p>
    <w:p>
      <w:pPr>
        <w:pStyle w:val="1070"/>
        <w:contextualSpacing/>
        <w:ind w:left="-2" w:firstLine="480"/>
        <w:spacing w:line="360" w:lineRule="auto"/>
        <w:tabs>
          <w:tab w:val="left" w:pos="567" w:leader="none"/>
        </w:tabs>
        <w:rPr>
          <w:rFonts w:hint="eastAsia" w:ascii="宋体" w:hAnsi="宋体" w:eastAsia="宋体"/>
          <w:bCs/>
          <w:sz w:val="24"/>
          <w:lang w:eastAsia="zh-CN"/>
        </w:rPr>
      </w:pPr>
      <w:r>
        <w:rPr>
          <w:rFonts w:hint="eastAsia" w:ascii="宋体" w:hAnsi="宋体"/>
          <w:bCs/>
          <w:sz w:val="24"/>
        </w:rPr>
        <w:t xml:space="preserve">本项目为</w:t>
      </w:r>
      <w:r>
        <w:rPr>
          <w:rFonts w:hint="eastAsia" w:ascii="宋体" w:hAnsi="宋体"/>
          <w:bCs/>
          <w:sz w:val="24"/>
          <w:lang w:eastAsia="zh-CN"/>
        </w:rPr>
        <w:t xml:space="preserve">常州市发改委政府冻猪肉储备项目</w:t>
      </w:r>
      <w:r>
        <w:rPr>
          <w:rFonts w:hint="eastAsia" w:ascii="宋体" w:hAnsi="宋体"/>
          <w:bCs/>
          <w:sz w:val="24"/>
        </w:rPr>
        <w:t xml:space="preserve">，</w:t>
      </w:r>
      <w:r>
        <w:rPr>
          <w:rFonts w:hint="eastAsia" w:ascii="宋体" w:hAnsi="宋体"/>
          <w:bCs/>
          <w:sz w:val="24"/>
          <w:lang w:val="en-US" w:eastAsia="zh-CN"/>
        </w:rPr>
        <w:t xml:space="preserve">年</w:t>
      </w:r>
      <w:r>
        <w:rPr>
          <w:rFonts w:hint="eastAsia" w:ascii="宋体" w:hAnsi="宋体"/>
          <w:bCs/>
          <w:sz w:val="24"/>
        </w:rPr>
        <w:t xml:space="preserve">储备总量为800吨</w:t>
      </w:r>
      <w:r>
        <w:rPr>
          <w:rFonts w:hint="eastAsia" w:ascii="宋体" w:hAnsi="宋体"/>
          <w:bCs/>
          <w:sz w:val="24"/>
          <w:lang w:eastAsia="zh-CN"/>
        </w:rPr>
        <w:t xml:space="preserve">。</w:t>
      </w:r>
      <w:r>
        <w:rPr>
          <w:rFonts w:hint="eastAsia" w:ascii="宋体" w:hAnsi="宋体" w:eastAsia="宋体"/>
          <w:bCs/>
          <w:sz w:val="24"/>
          <w:lang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440"/>
        <w:gridCol w:w="2232"/>
        <w:gridCol w:w="3816"/>
      </w:tblGrid>
      <w:tr>
        <w:trPr>
          <w:trHeight w:val="454"/>
        </w:trPr>
        <w:tc>
          <w:tcPr>
            <w:tcW w:w="427" w:type="dxa"/>
            <w:vAlign w:val="center"/>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包号</w:t>
            </w:r>
            <w:r>
              <w:rPr>
                <w:rFonts w:hint="eastAsia" w:ascii="宋体" w:hAnsi="宋体" w:eastAsia="宋体" w:cs="宋体"/>
                <w:bCs/>
                <w:sz w:val="24"/>
                <w:szCs w:val="24"/>
              </w:rPr>
            </w:r>
            <w:r/>
          </w:p>
        </w:tc>
        <w:tc>
          <w:tcPr>
            <w:tcW w:w="1314" w:type="dxa"/>
            <w:vAlign w:val="center"/>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标的名称</w:t>
            </w:r>
            <w:r>
              <w:rPr>
                <w:rFonts w:hint="eastAsia" w:ascii="宋体" w:hAnsi="宋体" w:eastAsia="宋体" w:cs="宋体"/>
                <w:bCs/>
                <w:sz w:val="24"/>
                <w:szCs w:val="24"/>
              </w:rPr>
            </w:r>
            <w:r/>
          </w:p>
        </w:tc>
        <w:tc>
          <w:tcPr>
            <w:tcW w:w="1202" w:type="dxa"/>
            <w:vAlign w:val="center"/>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采购包预算金额</w:t>
            </w:r>
            <w:r>
              <w:rPr>
                <w:rFonts w:hint="eastAsia" w:ascii="宋体" w:hAnsi="宋体" w:eastAsia="宋体" w:cs="宋体"/>
                <w:bCs/>
                <w:sz w:val="24"/>
                <w:szCs w:val="24"/>
              </w:rPr>
            </w:r>
            <w:r/>
          </w:p>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（万元</w:t>
            </w:r>
            <w:r>
              <w:rPr>
                <w:rFonts w:hint="eastAsia" w:ascii="宋体" w:hAnsi="宋体" w:eastAsia="宋体" w:cs="宋体"/>
                <w:bCs/>
                <w:sz w:val="24"/>
                <w:szCs w:val="24"/>
                <w:lang w:val="en-US" w:eastAsia="zh-CN"/>
              </w:rPr>
              <w:t xml:space="preserve">/年</w:t>
            </w:r>
            <w:r>
              <w:rPr>
                <w:rFonts w:hint="eastAsia" w:ascii="宋体" w:hAnsi="宋体" w:eastAsia="宋体" w:cs="宋体"/>
                <w:bCs/>
                <w:sz w:val="24"/>
                <w:szCs w:val="24"/>
              </w:rPr>
              <w:t xml:space="preserve">）</w:t>
            </w:r>
            <w:r>
              <w:rPr>
                <w:rFonts w:hint="eastAsia" w:ascii="宋体" w:hAnsi="宋体" w:eastAsia="宋体" w:cs="宋体"/>
                <w:bCs/>
                <w:sz w:val="24"/>
                <w:szCs w:val="24"/>
              </w:rPr>
            </w:r>
            <w:r/>
          </w:p>
        </w:tc>
        <w:tc>
          <w:tcPr>
            <w:tcW w:w="2055" w:type="dxa"/>
            <w:vAlign w:val="center"/>
            <w:textDirection w:val="lrTb"/>
            <w:noWrap w:val="false"/>
          </w:tcPr>
          <w:p>
            <w:pPr>
              <w:pStyle w:val="1070"/>
              <w:jc w:val="center"/>
              <w:rPr>
                <w:rFonts w:hint="eastAsia" w:ascii="宋体" w:hAnsi="宋体" w:eastAsia="宋体" w:cs="宋体"/>
                <w:sz w:val="24"/>
                <w:szCs w:val="24"/>
              </w:rPr>
            </w:pPr>
            <w:r>
              <w:rPr>
                <w:rFonts w:hint="eastAsia" w:ascii="宋体" w:hAnsi="宋体" w:eastAsia="宋体" w:cs="宋体"/>
                <w:sz w:val="24"/>
                <w:szCs w:val="24"/>
              </w:rPr>
              <w:t xml:space="preserve">简要技术需求或服务要求</w:t>
            </w:r>
            <w:r>
              <w:rPr>
                <w:rFonts w:hint="eastAsia" w:ascii="宋体" w:hAnsi="宋体" w:eastAsia="宋体" w:cs="宋体"/>
                <w:sz w:val="24"/>
                <w:szCs w:val="24"/>
              </w:rPr>
            </w:r>
            <w:r/>
          </w:p>
        </w:tc>
      </w:tr>
      <w:tr>
        <w:trPr>
          <w:trHeight w:val="908"/>
        </w:trPr>
        <w:tc>
          <w:tcPr>
            <w:tcW w:w="427" w:type="dxa"/>
            <w:vAlign w:val="center"/>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01</w:t>
            </w:r>
            <w:r>
              <w:rPr>
                <w:rFonts w:hint="eastAsia" w:ascii="宋体" w:hAnsi="宋体" w:eastAsia="宋体" w:cs="宋体"/>
                <w:bCs/>
                <w:sz w:val="24"/>
                <w:szCs w:val="24"/>
              </w:rPr>
            </w:r>
            <w:r/>
          </w:p>
        </w:tc>
        <w:tc>
          <w:tcPr>
            <w:tcW w:w="1314" w:type="dxa"/>
            <w:vAlign w:val="center"/>
            <w:textDirection w:val="lrTb"/>
            <w:noWrap w:val="false"/>
          </w:tcPr>
          <w:p>
            <w:pPr>
              <w:pStyle w:val="1070"/>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猪肉储备总量3</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0吨</w:t>
            </w:r>
            <w:r>
              <w:rPr>
                <w:rFonts w:hint="eastAsia" w:ascii="宋体" w:hAnsi="宋体" w:eastAsia="宋体" w:cs="宋体"/>
                <w:bCs/>
                <w:color w:val="000000"/>
                <w:sz w:val="24"/>
                <w:szCs w:val="24"/>
              </w:rPr>
            </w:r>
            <w:r/>
          </w:p>
        </w:tc>
        <w:tc>
          <w:tcPr>
            <w:tcW w:w="1202" w:type="dxa"/>
            <w:vAlign w:val="center"/>
            <w:textDirection w:val="lrTb"/>
            <w:noWrap w:val="false"/>
          </w:tcPr>
          <w:p>
            <w:pPr>
              <w:pStyle w:val="1070"/>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hint="eastAsia" w:ascii="宋体" w:hAnsi="宋体" w:eastAsia="宋体" w:cs="宋体"/>
                <w:bCs/>
                <w:color w:val="000000"/>
                <w:sz w:val="24"/>
                <w:szCs w:val="24"/>
                <w:lang w:val="en-US" w:eastAsia="zh-CN"/>
              </w:rPr>
            </w:r>
            <w:r/>
          </w:p>
        </w:tc>
        <w:tc>
          <w:tcPr>
            <w:tcW w:w="2055" w:type="dxa"/>
            <w:vAlign w:val="center"/>
            <w:vMerge w:val="restart"/>
            <w:textDirection w:val="lrTb"/>
            <w:noWrap w:val="false"/>
          </w:tcPr>
          <w:p>
            <w:pPr>
              <w:pStyle w:val="1070"/>
              <w:jc w:val="center"/>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本项目为</w:t>
            </w:r>
            <w:r>
              <w:rPr>
                <w:rFonts w:hint="eastAsia" w:ascii="宋体" w:hAnsi="宋体" w:eastAsia="宋体" w:cs="宋体"/>
                <w:bCs/>
                <w:sz w:val="24"/>
                <w:szCs w:val="24"/>
                <w:lang w:eastAsia="zh-CN"/>
              </w:rPr>
              <w:t xml:space="preserve">常州市发改委政府冻猪肉储备项目</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年</w:t>
            </w:r>
            <w:r>
              <w:rPr>
                <w:rFonts w:hint="eastAsia" w:ascii="宋体" w:hAnsi="宋体" w:eastAsia="宋体" w:cs="宋体"/>
                <w:bCs/>
                <w:sz w:val="24"/>
                <w:szCs w:val="24"/>
              </w:rPr>
              <w:t xml:space="preserve">储备总量为</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00吨</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959"/>
        </w:trPr>
        <w:tc>
          <w:tcPr>
            <w:tcW w:w="427" w:type="dxa"/>
            <w:vAlign w:val="center"/>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02</w:t>
            </w:r>
            <w:r>
              <w:rPr>
                <w:rFonts w:hint="eastAsia" w:ascii="宋体" w:hAnsi="宋体" w:eastAsia="宋体" w:cs="宋体"/>
                <w:bCs/>
                <w:sz w:val="24"/>
                <w:szCs w:val="24"/>
              </w:rPr>
            </w:r>
            <w:r/>
          </w:p>
        </w:tc>
        <w:tc>
          <w:tcPr>
            <w:tcW w:w="1314" w:type="dxa"/>
            <w:vAlign w:val="center"/>
            <w:textDirection w:val="lrTb"/>
            <w:noWrap w:val="false"/>
          </w:tcPr>
          <w:p>
            <w:pPr>
              <w:pStyle w:val="1070"/>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猪肉储备总量3</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0吨</w:t>
            </w:r>
            <w:r>
              <w:rPr>
                <w:rFonts w:hint="eastAsia" w:ascii="宋体" w:hAnsi="宋体" w:eastAsia="宋体" w:cs="宋体"/>
                <w:bCs/>
                <w:color w:val="000000"/>
                <w:sz w:val="24"/>
                <w:szCs w:val="24"/>
              </w:rPr>
            </w:r>
            <w:r/>
          </w:p>
        </w:tc>
        <w:tc>
          <w:tcPr>
            <w:tcW w:w="1202" w:type="dxa"/>
            <w:vAlign w:val="center"/>
            <w:textDirection w:val="lrTb"/>
            <w:noWrap w:val="false"/>
          </w:tcPr>
          <w:p>
            <w:pPr>
              <w:pStyle w:val="1070"/>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hint="eastAsia" w:ascii="宋体" w:hAnsi="宋体" w:eastAsia="宋体" w:cs="宋体"/>
                <w:bCs/>
                <w:color w:val="000000"/>
                <w:sz w:val="24"/>
                <w:szCs w:val="24"/>
                <w:lang w:val="en-US" w:eastAsia="zh-CN"/>
              </w:rPr>
            </w:r>
            <w:r/>
          </w:p>
        </w:tc>
        <w:tc>
          <w:tcPr>
            <w:tcW w:w="2055" w:type="dxa"/>
            <w:vAlign w:val="center"/>
            <w:vMerge w:val="continue"/>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r>
            <w:r/>
          </w:p>
        </w:tc>
      </w:tr>
      <w:tr>
        <w:trPr>
          <w:trHeight w:val="830"/>
        </w:trPr>
        <w:tc>
          <w:tcPr>
            <w:tcW w:w="427" w:type="dxa"/>
            <w:vAlign w:val="center"/>
            <w:textDirection w:val="lrTb"/>
            <w:noWrap w:val="false"/>
          </w:tcPr>
          <w:p>
            <w:pPr>
              <w:pStyle w:val="107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03</w:t>
            </w:r>
            <w:r>
              <w:rPr>
                <w:rFonts w:hint="eastAsia" w:ascii="宋体" w:hAnsi="宋体" w:eastAsia="宋体" w:cs="宋体"/>
                <w:bCs/>
                <w:sz w:val="24"/>
                <w:szCs w:val="24"/>
                <w:lang w:val="en-US" w:eastAsia="zh-CN"/>
              </w:rPr>
            </w:r>
            <w:r/>
          </w:p>
        </w:tc>
        <w:tc>
          <w:tcPr>
            <w:tcW w:w="1314" w:type="dxa"/>
            <w:vAlign w:val="center"/>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t xml:space="preserve">猪肉储备总量</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00吨</w:t>
            </w:r>
            <w:r>
              <w:rPr>
                <w:rFonts w:hint="eastAsia" w:ascii="宋体" w:hAnsi="宋体" w:eastAsia="宋体" w:cs="宋体"/>
                <w:bCs/>
                <w:sz w:val="24"/>
                <w:szCs w:val="24"/>
              </w:rPr>
            </w:r>
            <w:r/>
          </w:p>
        </w:tc>
        <w:tc>
          <w:tcPr>
            <w:tcW w:w="1202" w:type="dxa"/>
            <w:vAlign w:val="center"/>
            <w:textDirection w:val="lrTb"/>
            <w:noWrap w:val="false"/>
          </w:tcPr>
          <w:p>
            <w:pPr>
              <w:pStyle w:val="107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rPr>
            </w:r>
            <w:r/>
          </w:p>
        </w:tc>
        <w:tc>
          <w:tcPr>
            <w:tcW w:w="2055" w:type="dxa"/>
            <w:vAlign w:val="center"/>
            <w:vMerge w:val="continue"/>
            <w:textDirection w:val="lrTb"/>
            <w:noWrap w:val="false"/>
          </w:tcPr>
          <w:p>
            <w:pPr>
              <w:pStyle w:val="1070"/>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1165"/>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二、储备原则</w:t>
      </w:r>
      <w:r>
        <w:rPr>
          <w:rFonts w:ascii="宋体" w:hAnsi="宋体"/>
          <w:b/>
          <w:sz w:val="24"/>
          <w:szCs w:val="24"/>
        </w:rPr>
      </w:r>
      <w:r/>
    </w:p>
    <w:p>
      <w:pPr>
        <w:pStyle w:val="1070"/>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1.为切实加强市级猪肉储备工作，充分发挥储备猪肉在市场调控中的蓄水池作用，应对应急事态的有效投放、平衡物价，在储备期内必须保障合同约定的猪肉储备。</w:t>
      </w:r>
      <w:r>
        <w:rPr>
          <w:rFonts w:hint="eastAsia" w:ascii="宋体" w:hAnsi="宋体" w:eastAsia="宋体" w:cs="Times New Roman"/>
          <w:bCs/>
          <w:sz w:val="24"/>
        </w:rPr>
      </w:r>
      <w:r/>
    </w:p>
    <w:p>
      <w:pPr>
        <w:pStyle w:val="1070"/>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2.储备猪肉是应对重大自然灾害、公共卫生事件、动物疫情或者其他突发事件引发市场异常波动和市场调控而储备的猪肉，包括冻肉储备和冷鲜肉储备，建立市级猪肉长期储备制度。</w:t>
      </w:r>
      <w:r>
        <w:rPr>
          <w:rFonts w:hint="eastAsia" w:ascii="宋体" w:hAnsi="宋体" w:eastAsia="宋体" w:cs="Times New Roman"/>
          <w:bCs/>
          <w:sz w:val="24"/>
        </w:rPr>
      </w:r>
      <w:r/>
    </w:p>
    <w:p>
      <w:pPr>
        <w:pStyle w:val="1070"/>
        <w:contextualSpacing/>
        <w:ind w:left="-2" w:firstLine="480"/>
        <w:spacing w:line="360" w:lineRule="auto"/>
        <w:tabs>
          <w:tab w:val="left" w:pos="567" w:leader="none"/>
        </w:tabs>
        <w:rPr>
          <w:rFonts w:ascii="宋体" w:hAnsi="宋体"/>
          <w:b/>
          <w:i/>
          <w:sz w:val="24"/>
        </w:rPr>
      </w:pPr>
      <w:r>
        <w:rPr>
          <w:rFonts w:hint="eastAsia" w:ascii="宋体" w:hAnsi="宋体" w:eastAsia="宋体" w:cs="Times New Roman"/>
          <w:bCs/>
          <w:sz w:val="24"/>
        </w:rPr>
        <w:t xml:space="preserve">3.储备要坚持政府主导、市场运作；常年储备、确保安全；定期轮换、保质保量；保证供应、平衡物价等原则。做到储的进、调的出、用得上，有效发挥其作用，切实保障猪肉供应不断档、不脱销。</w:t>
      </w:r>
      <w:r>
        <w:rPr>
          <w:rFonts w:ascii="宋体" w:hAnsi="宋体"/>
          <w:b/>
          <w:i/>
          <w:sz w:val="24"/>
        </w:rPr>
      </w:r>
      <w:r/>
    </w:p>
    <w:p>
      <w:pPr>
        <w:pStyle w:val="1165"/>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三、</w:t>
      </w:r>
      <w:r>
        <w:rPr>
          <w:rFonts w:hint="eastAsia" w:ascii="宋体" w:hAnsi="宋体"/>
          <w:b/>
          <w:sz w:val="24"/>
          <w:szCs w:val="24"/>
          <w:lang w:val="en-US" w:eastAsia="zh-CN"/>
        </w:rPr>
        <w:t xml:space="preserve">项目</w:t>
      </w:r>
      <w:r>
        <w:rPr>
          <w:rFonts w:ascii="宋体" w:hAnsi="宋体"/>
          <w:b/>
          <w:sz w:val="24"/>
          <w:szCs w:val="24"/>
        </w:rPr>
        <w:t xml:space="preserve">要求</w:t>
      </w:r>
      <w:r>
        <w:rPr>
          <w:rFonts w:ascii="宋体" w:hAnsi="宋体"/>
          <w:b/>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1.具有稳定的冷冻猪肉经销渠道或深加工能力，便于储备冻肉的轮换管理。 </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2.具有组织、管理冷冻猪肉和冷库的能力和完善的食品安全保障制度，能够承担储备肉的安全责任。</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3.在库管理：猪肉储备必须实行专仓(专垛)承储、专人管理、专账记载、挂牌明示，确保账账相符、账实相符、质量良好和储存安全。</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4.轮换管理：冻猪肉储备每年至少1个轮次的更新，确保承储期限到期时或招标人动用时储备猪肉在保质期限内。承储企业可以按更新轮换、保证质量的要求自行出售储备冻肉，自负盈亏；更新轮换过程中，允许实际冻肉储备库存数量有所波动，但全年月末库存平均数不得低于承储数量的100%。</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5.质量管理：猪肉储备入库质量由承储企业依法取得国家法定检疫机构按批次出具的动物产品检疫检验合格证明，在库品质检验检测由采购人委托具有法定检测资质的机构对储备商品进行在库质量检验检测并出具检测报告，并报常州市发展和改革委员会粮食和物资储备处备案，确保储备肉质量与安全。</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6.在遭遇疫情及其他自然灾害时，承储企业应积极采取应对措施，所造成的损失由承储企业自行承担。</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7.储备冻肉品种为猪分割肉：猪身中段、前后段，或者大排、肋排、小排、二号肉、四号肉、五花肉、蹄膀等。</w:t>
      </w:r>
      <w:r>
        <w:rPr>
          <w:rFonts w:hint="eastAsia" w:ascii="宋体" w:hAnsi="宋体"/>
          <w:sz w:val="24"/>
          <w:szCs w:val="24"/>
        </w:rPr>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b/>
          <w:sz w:val="24"/>
          <w:szCs w:val="24"/>
          <w:lang w:val="en-US" w:eastAsia="zh-CN" w:bidi="ar-SA"/>
        </w:rPr>
        <w:t xml:space="preserve">四</w:t>
      </w:r>
      <w:r>
        <w:rPr>
          <w:rFonts w:ascii="宋体" w:hAnsi="宋体"/>
          <w:b/>
          <w:sz w:val="24"/>
          <w:szCs w:val="24"/>
          <w:lang w:val="en-US" w:eastAsia="zh-CN" w:bidi="ar-SA"/>
        </w:rPr>
        <w:t xml:space="preserve">、</w:t>
      </w:r>
      <w:r>
        <w:rPr>
          <w:rFonts w:hint="eastAsia" w:ascii="宋体" w:hAnsi="宋体"/>
          <w:b/>
          <w:sz w:val="24"/>
          <w:szCs w:val="24"/>
          <w:lang w:val="en-US" w:eastAsia="zh-CN"/>
        </w:rPr>
        <w:t xml:space="preserve">其他</w:t>
      </w:r>
      <w:r>
        <w:rPr>
          <w:rFonts w:ascii="宋体" w:hAnsi="宋体"/>
          <w:b/>
          <w:sz w:val="24"/>
          <w:szCs w:val="24"/>
        </w:rPr>
        <w:t xml:space="preserve">要求</w:t>
      </w:r>
      <w:r>
        <w:rPr>
          <w:rFonts w:hint="eastAsia" w:ascii="宋体" w:hAnsi="宋体"/>
          <w:sz w:val="24"/>
          <w:szCs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中标人</w:t>
      </w:r>
      <w:r>
        <w:rPr>
          <w:rFonts w:hint="eastAsia" w:ascii="宋体" w:hAnsi="宋体" w:cs="宋体"/>
          <w:sz w:val="24"/>
        </w:rPr>
        <w:t xml:space="preserve">应保证储备肉的数量、质量和种类均达到合同约定的标准。当</w:t>
      </w:r>
      <w:r>
        <w:rPr>
          <w:rFonts w:hint="eastAsia" w:ascii="宋体" w:hAnsi="宋体" w:cs="宋体"/>
          <w:sz w:val="24"/>
          <w:lang w:eastAsia="zh-CN"/>
        </w:rPr>
        <w:t xml:space="preserve">招标人</w:t>
      </w:r>
      <w:r>
        <w:rPr>
          <w:rFonts w:hint="eastAsia" w:ascii="宋体" w:hAnsi="宋体" w:cs="宋体"/>
          <w:sz w:val="24"/>
        </w:rPr>
        <w:t xml:space="preserve">需动用储备肉时，</w:t>
      </w:r>
      <w:r>
        <w:rPr>
          <w:rFonts w:hint="eastAsia" w:ascii="宋体" w:hAnsi="宋体" w:cs="宋体"/>
          <w:sz w:val="24"/>
          <w:lang w:eastAsia="zh-CN"/>
        </w:rPr>
        <w:t xml:space="preserve">中标人</w:t>
      </w:r>
      <w:r>
        <w:rPr>
          <w:rFonts w:hint="eastAsia" w:ascii="宋体" w:hAnsi="宋体" w:cs="宋体"/>
          <w:sz w:val="24"/>
        </w:rPr>
        <w:t xml:space="preserve">应按照</w:t>
      </w:r>
      <w:r>
        <w:rPr>
          <w:rFonts w:hint="eastAsia" w:ascii="宋体" w:hAnsi="宋体" w:cs="宋体"/>
          <w:sz w:val="24"/>
          <w:lang w:eastAsia="zh-CN"/>
        </w:rPr>
        <w:t xml:space="preserve">招标人</w:t>
      </w:r>
      <w:r>
        <w:rPr>
          <w:rFonts w:hint="eastAsia" w:ascii="宋体" w:hAnsi="宋体" w:cs="宋体"/>
          <w:sz w:val="24"/>
        </w:rPr>
        <w:t xml:space="preserve">下达的储备肉动用计划，及时、足量、保质地将储备肉移交给</w:t>
      </w:r>
      <w:r>
        <w:rPr>
          <w:rFonts w:hint="eastAsia" w:ascii="宋体" w:hAnsi="宋体" w:cs="宋体"/>
          <w:sz w:val="24"/>
          <w:lang w:eastAsia="zh-CN"/>
        </w:rPr>
        <w:t xml:space="preserve">招标人</w:t>
      </w:r>
      <w:r>
        <w:rPr>
          <w:rFonts w:hint="eastAsia" w:ascii="宋体" w:hAnsi="宋体" w:cs="宋体"/>
          <w:sz w:val="24"/>
        </w:rPr>
        <w:t xml:space="preserve">处理，或根据</w:t>
      </w:r>
      <w:r>
        <w:rPr>
          <w:rFonts w:hint="eastAsia" w:ascii="宋体" w:hAnsi="宋体" w:cs="宋体"/>
          <w:sz w:val="24"/>
          <w:lang w:eastAsia="zh-CN"/>
        </w:rPr>
        <w:t xml:space="preserve">招标人</w:t>
      </w:r>
      <w:r>
        <w:rPr>
          <w:rFonts w:hint="eastAsia" w:ascii="宋体" w:hAnsi="宋体" w:cs="宋体"/>
          <w:sz w:val="24"/>
        </w:rPr>
        <w:t xml:space="preserve">计划安排有偿进行市场投放。</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2.为加快储备肉轮换更新，储备期内</w:t>
      </w:r>
      <w:r>
        <w:rPr>
          <w:rFonts w:hint="eastAsia" w:ascii="宋体" w:hAnsi="宋体" w:cs="宋体"/>
          <w:sz w:val="24"/>
          <w:lang w:eastAsia="zh-CN"/>
        </w:rPr>
        <w:t xml:space="preserve">中标人</w:t>
      </w:r>
      <w:r>
        <w:rPr>
          <w:rFonts w:hint="eastAsia" w:ascii="宋体" w:hAnsi="宋体" w:cs="宋体"/>
          <w:sz w:val="24"/>
        </w:rPr>
        <w:t xml:space="preserve">部分储备肉用于日常生产经营，但必须遵守以下规则：</w:t>
      </w:r>
      <w:r>
        <w:rPr>
          <w:rFonts w:hint="eastAsia" w:ascii="宋体" w:hAnsi="宋体" w:cs="宋体"/>
          <w:sz w:val="24"/>
        </w:rPr>
        <w:tab/>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（1）日常储备量不得少于合同规定数量的</w:t>
      </w:r>
      <w:r>
        <w:rPr>
          <w:rFonts w:ascii="宋体" w:hAnsi="宋体" w:cs="宋体"/>
          <w:sz w:val="24"/>
        </w:rPr>
        <w:t xml:space="preserve">90</w:t>
      </w:r>
      <w:r>
        <w:rPr>
          <w:rFonts w:hint="eastAsia" w:ascii="宋体" w:hAnsi="宋体" w:cs="宋体"/>
          <w:sz w:val="24"/>
        </w:rPr>
        <w:t xml:space="preserve">%；</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（2）具备可信赖的应急能力，如</w:t>
      </w:r>
      <w:r>
        <w:rPr>
          <w:rFonts w:hint="eastAsia" w:ascii="宋体" w:hAnsi="宋体" w:cs="宋体"/>
          <w:sz w:val="24"/>
          <w:lang w:eastAsia="zh-CN"/>
        </w:rPr>
        <w:t xml:space="preserve">招标人</w:t>
      </w:r>
      <w:r>
        <w:rPr>
          <w:rFonts w:hint="eastAsia" w:ascii="宋体" w:hAnsi="宋体" w:cs="宋体"/>
          <w:sz w:val="24"/>
        </w:rPr>
        <w:t xml:space="preserve">需动用储备肉，</w:t>
      </w:r>
      <w:r>
        <w:rPr>
          <w:rFonts w:hint="eastAsia" w:ascii="宋体" w:hAnsi="宋体" w:cs="宋体"/>
          <w:sz w:val="24"/>
          <w:lang w:eastAsia="zh-CN"/>
        </w:rPr>
        <w:t xml:space="preserve">中标人</w:t>
      </w:r>
      <w:r>
        <w:rPr>
          <w:rFonts w:hint="eastAsia" w:ascii="宋体" w:hAnsi="宋体" w:cs="宋体"/>
          <w:sz w:val="24"/>
        </w:rPr>
        <w:t xml:space="preserve">应当能在5日内调集缺额部分以满足</w:t>
      </w:r>
      <w:r>
        <w:rPr>
          <w:rFonts w:hint="eastAsia" w:ascii="宋体" w:hAnsi="宋体" w:cs="宋体"/>
          <w:sz w:val="24"/>
          <w:lang w:eastAsia="zh-CN"/>
        </w:rPr>
        <w:t xml:space="preserve">招标人</w:t>
      </w:r>
      <w:r>
        <w:rPr>
          <w:rFonts w:hint="eastAsia" w:ascii="宋体" w:hAnsi="宋体" w:cs="宋体"/>
          <w:sz w:val="24"/>
        </w:rPr>
        <w:t xml:space="preserve">的应急需求。</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3.储备肉的正常轮换更新费用和市场差价由</w:t>
      </w:r>
      <w:r>
        <w:rPr>
          <w:rFonts w:hint="eastAsia" w:ascii="宋体" w:hAnsi="宋体" w:cs="宋体"/>
          <w:sz w:val="24"/>
          <w:lang w:eastAsia="zh-CN"/>
        </w:rPr>
        <w:t xml:space="preserve">中标人</w:t>
      </w:r>
      <w:r>
        <w:rPr>
          <w:rFonts w:hint="eastAsia" w:ascii="宋体" w:hAnsi="宋体" w:cs="宋体"/>
          <w:sz w:val="24"/>
        </w:rPr>
        <w:t xml:space="preserve">承担。</w:t>
      </w:r>
      <w:r>
        <w:rPr>
          <w:rFonts w:hint="eastAsia" w:ascii="宋体" w:hAnsi="宋体" w:cs="宋体"/>
          <w:sz w:val="24"/>
          <w:lang w:eastAsia="zh-CN"/>
        </w:rPr>
        <w:t xml:space="preserve">中标人</w:t>
      </w:r>
      <w:r>
        <w:rPr>
          <w:rFonts w:hint="eastAsia" w:ascii="宋体" w:hAnsi="宋体" w:cs="宋体"/>
          <w:sz w:val="24"/>
        </w:rPr>
        <w:t xml:space="preserve">必须做好储备肉出入库、轮换更新、检验检测等台帐工作，以备</w:t>
      </w:r>
      <w:r>
        <w:rPr>
          <w:rFonts w:hint="eastAsia" w:ascii="宋体" w:hAnsi="宋体" w:cs="宋体"/>
          <w:sz w:val="24"/>
          <w:lang w:eastAsia="zh-CN"/>
        </w:rPr>
        <w:t xml:space="preserve">招标人</w:t>
      </w:r>
      <w:r>
        <w:rPr>
          <w:rFonts w:hint="eastAsia" w:ascii="宋体" w:hAnsi="宋体" w:cs="宋体"/>
          <w:sz w:val="24"/>
        </w:rPr>
        <w:t xml:space="preserve">检查。</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中标人</w:t>
      </w:r>
      <w:r>
        <w:rPr>
          <w:rFonts w:hint="eastAsia" w:ascii="宋体" w:hAnsi="宋体" w:cs="宋体"/>
          <w:sz w:val="24"/>
        </w:rPr>
        <w:t xml:space="preserve">必须高度重视安全生产。保管期间，由于管理不善或作业工人操作不规范等因素造成的安全事故，均由</w:t>
      </w:r>
      <w:r>
        <w:rPr>
          <w:rFonts w:hint="eastAsia" w:ascii="宋体" w:hAnsi="宋体" w:cs="宋体"/>
          <w:sz w:val="24"/>
          <w:lang w:eastAsia="zh-CN"/>
        </w:rPr>
        <w:t xml:space="preserve">中标人</w:t>
      </w:r>
      <w:r>
        <w:rPr>
          <w:rFonts w:hint="eastAsia" w:ascii="宋体" w:hAnsi="宋体" w:cs="宋体"/>
          <w:sz w:val="24"/>
        </w:rPr>
        <w:t xml:space="preserve">承担一切责任和损失。</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中标人</w:t>
      </w:r>
      <w:r>
        <w:rPr>
          <w:rFonts w:hint="eastAsia" w:ascii="宋体" w:hAnsi="宋体" w:cs="宋体"/>
          <w:sz w:val="24"/>
        </w:rPr>
        <w:t xml:space="preserve">必须自觉接受</w:t>
      </w:r>
      <w:r>
        <w:rPr>
          <w:rFonts w:hint="eastAsia" w:ascii="宋体" w:hAnsi="宋体" w:cs="宋体"/>
          <w:sz w:val="24"/>
          <w:lang w:eastAsia="zh-CN"/>
        </w:rPr>
        <w:t xml:space="preserve">招标人</w:t>
      </w:r>
      <w:r>
        <w:rPr>
          <w:rFonts w:hint="eastAsia" w:ascii="宋体" w:hAnsi="宋体" w:cs="宋体"/>
          <w:sz w:val="24"/>
        </w:rPr>
        <w:t xml:space="preserve">的定期（每季度不少于1次）或不定期检查和考核。</w:t>
      </w:r>
      <w:r>
        <w:rPr>
          <w:rFonts w:hint="eastAsia" w:ascii="宋体" w:hAnsi="宋体" w:cs="宋体"/>
          <w:sz w:val="24"/>
          <w:lang w:eastAsia="zh-CN"/>
        </w:rPr>
        <w:t xml:space="preserve">招标人</w:t>
      </w:r>
      <w:r>
        <w:rPr>
          <w:rFonts w:hint="eastAsia" w:ascii="宋体" w:hAnsi="宋体" w:cs="宋体"/>
          <w:sz w:val="24"/>
        </w:rPr>
        <w:t xml:space="preserve">会不定期抽查</w:t>
      </w:r>
      <w:r>
        <w:rPr>
          <w:rFonts w:hint="eastAsia" w:ascii="宋体" w:hAnsi="宋体" w:cs="宋体"/>
          <w:sz w:val="24"/>
          <w:lang w:eastAsia="zh-CN"/>
        </w:rPr>
        <w:t xml:space="preserve">中标人</w:t>
      </w:r>
      <w:r>
        <w:rPr>
          <w:rFonts w:hint="eastAsia" w:ascii="宋体" w:hAnsi="宋体" w:cs="宋体"/>
          <w:sz w:val="24"/>
        </w:rPr>
        <w:t xml:space="preserve">的储备情况，如储备量达不到合同约定的吨位，</w:t>
      </w:r>
      <w:r>
        <w:rPr>
          <w:rFonts w:hint="eastAsia" w:ascii="宋体" w:hAnsi="宋体" w:cs="宋体"/>
          <w:sz w:val="24"/>
          <w:lang w:eastAsia="zh-CN"/>
        </w:rPr>
        <w:t xml:space="preserve">招标人</w:t>
      </w:r>
      <w:r>
        <w:rPr>
          <w:rFonts w:hint="eastAsia" w:ascii="宋体" w:hAnsi="宋体" w:cs="宋体"/>
          <w:sz w:val="24"/>
        </w:rPr>
        <w:t xml:space="preserve">可提出口头警告，要求</w:t>
      </w:r>
      <w:r>
        <w:rPr>
          <w:rFonts w:hint="eastAsia" w:ascii="宋体" w:hAnsi="宋体" w:cs="宋体"/>
          <w:sz w:val="24"/>
          <w:lang w:eastAsia="zh-CN"/>
        </w:rPr>
        <w:t xml:space="preserve">中标人</w:t>
      </w:r>
      <w:r>
        <w:rPr>
          <w:rFonts w:hint="eastAsia" w:ascii="宋体" w:hAnsi="宋体" w:cs="宋体"/>
          <w:sz w:val="24"/>
        </w:rPr>
        <w:t xml:space="preserve">限期整改。如</w:t>
      </w:r>
      <w:r>
        <w:rPr>
          <w:rFonts w:hint="eastAsia" w:ascii="宋体" w:hAnsi="宋体" w:cs="宋体"/>
          <w:sz w:val="24"/>
          <w:lang w:eastAsia="zh-CN"/>
        </w:rPr>
        <w:t xml:space="preserve">中标人</w:t>
      </w:r>
      <w:r>
        <w:rPr>
          <w:rFonts w:hint="eastAsia" w:ascii="宋体" w:hAnsi="宋体" w:cs="宋体"/>
          <w:sz w:val="24"/>
        </w:rPr>
        <w:t xml:space="preserve">未按要求整改，</w:t>
      </w:r>
      <w:r>
        <w:rPr>
          <w:rFonts w:hint="eastAsia" w:ascii="宋体" w:hAnsi="宋体" w:cs="宋体"/>
          <w:sz w:val="24"/>
          <w:lang w:val="en-US" w:eastAsia="zh-CN"/>
        </w:rPr>
        <w:t xml:space="preserve">招标人</w:t>
      </w:r>
      <w:r>
        <w:rPr>
          <w:rFonts w:hint="eastAsia" w:ascii="宋体" w:hAnsi="宋体" w:cs="宋体"/>
          <w:sz w:val="24"/>
        </w:rPr>
        <w:t xml:space="preserve">有权利提前终止合同。</w:t>
      </w:r>
      <w:r>
        <w:rPr>
          <w:rFonts w:ascii="宋体" w:hAnsi="宋体" w:cs="宋体"/>
          <w:sz w:val="24"/>
        </w:rPr>
      </w:r>
      <w:r/>
    </w:p>
    <w:p>
      <w:pPr>
        <w:pStyle w:val="1070"/>
        <w:ind w:firstLine="482"/>
        <w:jc w:val="left"/>
        <w:spacing w:line="360" w:lineRule="auto"/>
        <w:widowControl/>
        <w:rPr>
          <w:rFonts w:ascii="宋体" w:hAnsi="宋体" w:cs="宋体"/>
          <w:b/>
          <w:bCs/>
          <w:sz w:val="24"/>
        </w:rPr>
      </w:pPr>
      <w:r>
        <w:rPr>
          <w:rFonts w:hint="eastAsia" w:ascii="宋体" w:hAnsi="宋体" w:cs="宋体"/>
          <w:b/>
          <w:bCs/>
          <w:sz w:val="24"/>
        </w:rPr>
        <w:t xml:space="preserve">五、质量与验收</w:t>
      </w:r>
      <w:r>
        <w:rPr>
          <w:rFonts w:ascii="宋体" w:hAnsi="宋体" w:cs="宋体"/>
          <w:b/>
          <w:bCs/>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中标人</w:t>
      </w:r>
      <w:r>
        <w:rPr>
          <w:rFonts w:hint="eastAsia" w:ascii="宋体" w:hAnsi="宋体" w:cs="宋体"/>
          <w:sz w:val="24"/>
        </w:rPr>
        <w:t xml:space="preserve">应按照招标文件的有关规定向</w:t>
      </w:r>
      <w:r>
        <w:rPr>
          <w:rFonts w:hint="eastAsia" w:ascii="宋体" w:hAnsi="宋体" w:cs="宋体"/>
          <w:sz w:val="24"/>
          <w:lang w:eastAsia="zh-CN"/>
        </w:rPr>
        <w:t xml:space="preserve">招标人</w:t>
      </w:r>
      <w:r>
        <w:rPr>
          <w:rFonts w:hint="eastAsia" w:ascii="宋体" w:hAnsi="宋体" w:cs="宋体"/>
          <w:sz w:val="24"/>
        </w:rPr>
        <w:t xml:space="preserve">提供约定的符合国家质量要求的冻肉储备品种。</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中标人</w:t>
      </w:r>
      <w:r>
        <w:rPr>
          <w:rFonts w:hint="eastAsia" w:ascii="宋体" w:hAnsi="宋体" w:cs="宋体"/>
          <w:sz w:val="24"/>
        </w:rPr>
        <w:t xml:space="preserve">应当依照储藏标准和法定要件储备冷藏猪肉，</w:t>
      </w:r>
      <w:r>
        <w:rPr>
          <w:rFonts w:hint="eastAsia" w:ascii="宋体" w:hAnsi="宋体" w:cs="宋体"/>
          <w:sz w:val="24"/>
          <w:lang w:eastAsia="zh-CN"/>
        </w:rPr>
        <w:t xml:space="preserve">招标人</w:t>
      </w:r>
      <w:r>
        <w:rPr>
          <w:rFonts w:hint="eastAsia" w:ascii="宋体" w:hAnsi="宋体" w:cs="宋体"/>
          <w:sz w:val="24"/>
        </w:rPr>
        <w:t xml:space="preserve">负责定期督查。</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3.猪肉储备入库由</w:t>
      </w:r>
      <w:r>
        <w:rPr>
          <w:rFonts w:hint="eastAsia" w:ascii="宋体" w:hAnsi="宋体" w:cs="宋体"/>
          <w:sz w:val="24"/>
          <w:lang w:eastAsia="zh-CN"/>
        </w:rPr>
        <w:t xml:space="preserve">中标人</w:t>
      </w:r>
      <w:r>
        <w:rPr>
          <w:rFonts w:hint="eastAsia" w:ascii="宋体" w:hAnsi="宋体" w:cs="宋体"/>
          <w:sz w:val="24"/>
        </w:rPr>
        <w:t xml:space="preserve">依法取得国家法定检疫机构按批次出具的动物产品检疫合格证明和猪肉检验合格证明，在库品质检验检测由</w:t>
      </w:r>
      <w:r>
        <w:rPr>
          <w:rFonts w:hint="eastAsia" w:ascii="宋体" w:hAnsi="宋体" w:cs="宋体"/>
          <w:sz w:val="24"/>
          <w:lang w:eastAsia="zh-CN"/>
        </w:rPr>
        <w:t xml:space="preserve">招标人</w:t>
      </w:r>
      <w:r>
        <w:rPr>
          <w:rFonts w:hint="eastAsia" w:ascii="宋体" w:hAnsi="宋体" w:cs="宋体"/>
          <w:sz w:val="24"/>
        </w:rPr>
        <w:t xml:space="preserve">委托具有法定检测资质的第三方机构进行。检测报告由第三方检验检测机构直接报送</w:t>
      </w:r>
      <w:r>
        <w:rPr>
          <w:rFonts w:hint="eastAsia" w:ascii="宋体" w:hAnsi="宋体" w:cs="宋体"/>
          <w:sz w:val="24"/>
          <w:lang w:eastAsia="zh-CN"/>
        </w:rPr>
        <w:t xml:space="preserve">招标人</w:t>
      </w:r>
      <w:r>
        <w:rPr>
          <w:rFonts w:hint="eastAsia" w:ascii="宋体" w:hAnsi="宋体" w:cs="宋体"/>
          <w:sz w:val="24"/>
        </w:rPr>
        <w:t xml:space="preserve">备案。</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中标人</w:t>
      </w:r>
      <w:r>
        <w:rPr>
          <w:rFonts w:hint="eastAsia" w:ascii="宋体" w:hAnsi="宋体" w:cs="宋体"/>
          <w:sz w:val="24"/>
        </w:rPr>
        <w:t xml:space="preserve">承担储备猪肉的在库管理，负责储备肉、冷库安全和食品安全责任。</w:t>
      </w:r>
      <w:r>
        <w:rPr>
          <w:rFonts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5.验收标准根据有关规定及招标文件要求，验收通过为准。</w:t>
      </w:r>
      <w:r>
        <w:rPr>
          <w:rFonts w:hint="eastAsia" w:ascii="宋体" w:hAnsi="宋体" w:cs="宋体"/>
          <w:sz w:val="24"/>
        </w:rPr>
      </w:r>
      <w:r/>
    </w:p>
    <w:p>
      <w:pPr>
        <w:pStyle w:val="1070"/>
        <w:ind w:firstLine="482"/>
        <w:jc w:val="left"/>
        <w:spacing w:line="360" w:lineRule="auto"/>
        <w:widowControl/>
        <w:rPr>
          <w:rFonts w:hint="eastAsia" w:ascii="宋体" w:hAnsi="宋体" w:cs="宋体"/>
          <w:sz w:val="24"/>
        </w:rPr>
      </w:pPr>
      <w:r>
        <w:rPr>
          <w:rFonts w:hint="eastAsia" w:ascii="宋体" w:hAnsi="宋体" w:eastAsia="宋体" w:cs="宋体"/>
          <w:b/>
          <w:bCs/>
          <w:sz w:val="24"/>
        </w:rPr>
        <w:t xml:space="preserve">六、违约处罚与管束条款</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为强化供应商履约管理，针对“服务不到位、存储量不达标、未满足采购人要求”等违约行为，明确以下处罚与管束措施，处罚标准与违约情节挂钩，且不免除中标人继续履行合同的义务：</w:t>
      </w:r>
      <w:r>
        <w:rPr>
          <w:rFonts w:hint="eastAsia" w:ascii="宋体" w:hAnsi="宋体" w:cs="宋体"/>
          <w:sz w:val="24"/>
        </w:rPr>
      </w:r>
      <w:r/>
    </w:p>
    <w:p>
      <w:pPr>
        <w:pStyle w:val="1070"/>
        <w:ind w:firstLine="482"/>
        <w:jc w:val="left"/>
        <w:spacing w:line="360" w:lineRule="auto"/>
        <w:widowControl/>
        <w:rPr>
          <w:rFonts w:hint="eastAsia" w:ascii="宋体" w:hAnsi="宋体" w:cs="宋体"/>
          <w:color w:val="0000ff"/>
          <w:sz w:val="24"/>
        </w:rPr>
      </w:pPr>
      <w:r>
        <w:rPr>
          <w:rFonts w:hint="eastAsia" w:ascii="宋体" w:hAnsi="宋体" w:eastAsia="宋体" w:cs="宋体"/>
          <w:b/>
          <w:bCs/>
          <w:sz w:val="24"/>
        </w:rPr>
        <w:t xml:space="preserve">（一）履约监督机制</w:t>
      </w:r>
      <w:r>
        <w:rPr>
          <w:rFonts w:hint="eastAsia" w:ascii="宋体" w:hAnsi="宋体" w:cs="宋体"/>
          <w:color w:val="0000ff"/>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1.招标人建立“月度抽查+季度考核+年度评估”的履约监督体系，每月至少1次抽查储备量、台账完整性，每季度结合检测报告、应急响应能力开展综合考核，年度评估结果作为合同续签的核心依据。</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2.中标人须配合招标人的监督检查，不得拒绝、拖延提供储备数据、台账或现场核查条件；若无故拒绝检查，视为“一般违约”。</w:t>
      </w:r>
      <w:r>
        <w:rPr>
          <w:rFonts w:hint="eastAsia" w:ascii="宋体" w:hAnsi="宋体" w:cs="宋体"/>
          <w:sz w:val="24"/>
        </w:rPr>
      </w:r>
      <w:r/>
    </w:p>
    <w:p>
      <w:pPr>
        <w:pStyle w:val="1070"/>
        <w:ind w:firstLine="482"/>
        <w:jc w:val="left"/>
        <w:spacing w:line="360" w:lineRule="auto"/>
        <w:widowControl/>
        <w:rPr>
          <w:rFonts w:hint="eastAsia" w:ascii="宋体" w:hAnsi="宋体" w:cs="宋体"/>
          <w:color w:val="0000ff"/>
          <w:sz w:val="24"/>
        </w:rPr>
      </w:pPr>
      <w:r>
        <w:rPr>
          <w:rFonts w:hint="eastAsia" w:ascii="宋体" w:hAnsi="宋体" w:eastAsia="宋体" w:cs="宋体"/>
          <w:b/>
          <w:bCs/>
          <w:sz w:val="24"/>
        </w:rPr>
        <w:t xml:space="preserve">（二）违约行为认定与处罚标准</w:t>
      </w:r>
      <w:r>
        <w:rPr>
          <w:rFonts w:hint="eastAsia" w:ascii="宋体" w:hAnsi="宋体" w:cs="宋体"/>
          <w:color w:val="0000ff"/>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1.轻微违约（单次发生，影响较小）</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认定情形：</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日常储备量1次低于90%但高于80%，且在24小时内补足；</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台账记录不完整（如漏记1-2笔出入库记录），但无虚假数据；</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未按时（逾期≤3个工作日）提交轮换计划或检测报告备案材料。</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处罚措施：</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招标人出具《口头警告通知书》，责令3日内整改；</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整改完成后须提交书面整改报告，经招标人核查通过后方可恢复正常履约；</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单次轻微违约不扣减服务费用，但计入季度考核记录，季度内累计2次轻微违约升级为一般违约。</w:t>
      </w:r>
      <w:r>
        <w:rPr>
          <w:rFonts w:hint="eastAsia" w:ascii="宋体" w:hAnsi="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2.一般违约（单次影响较大或累计违约）</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认定情形：</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eastAsia="宋体" w:cs="宋体"/>
          <w:sz w:val="24"/>
        </w:rPr>
        <w:t xml:space="preserve">日常储备量1次低于</w:t>
      </w:r>
      <w:r>
        <w:rPr>
          <w:rFonts w:hint="eastAsia" w:ascii="宋体" w:hAnsi="宋体" w:cs="宋体"/>
          <w:sz w:val="24"/>
        </w:rPr>
        <w:t xml:space="preserve">80%，或逾期＞24小时补足；</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全年任意1个月末库存低于承储数量的100%；</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台账存在虚假记录（如虚增储备量、伪造检疫证明编号）；</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招标人动用储备肉时，未在5日内调集缺额部分（无不可抗力因素）；</w:t>
      </w:r>
      <w:r>
        <w:rPr>
          <w:rFonts w:hint="eastAsia" w:ascii="宋体" w:hAnsi="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cs="宋体"/>
          <w:sz w:val="24"/>
        </w:rPr>
        <w:t xml:space="preserve">在库检测发现1批次猪肉质量不达标（如感官异常、理化指标超标），且未在3</w:t>
      </w:r>
      <w:r>
        <w:rPr>
          <w:rFonts w:hint="eastAsia" w:ascii="宋体" w:hAnsi="宋体" w:eastAsia="宋体" w:cs="宋体"/>
          <w:sz w:val="24"/>
        </w:rPr>
        <w:t xml:space="preserve">日内更换合格猪肉。</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处罚措施：</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招标人出具《书面通报批评函》，在常州市公共资源交易平台公示违约情况；</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扣减当期服务费用的5%-10%（按违约天数/程度计算：每逾期1日扣减1%，单次最高扣10%）；</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暂停履约资格7日，期间须完成全面整改，整改未通过不得恢复履约；</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一般违约记录纳入企业信用档案，年度内累计2次一般违约，取消下一年度合同续签资格。</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3.严重违约（单次严重影响或拒不整改）</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认定情形：</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日常储备量连续3日低于80%，或累计缺额超过承储数量的20%；</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eastAsia="宋体" w:cs="宋体"/>
          <w:sz w:val="24"/>
        </w:rPr>
        <w:t xml:space="preserve">入库猪肉无合法检疫证明，或在库检测发现2</w:t>
      </w:r>
      <w:r>
        <w:rPr>
          <w:rFonts w:hint="eastAsia" w:ascii="宋体" w:hAnsi="宋体" w:cs="宋体"/>
          <w:sz w:val="24"/>
        </w:rPr>
        <w:t xml:space="preserve">批次及以上猪肉质量不达标且拒不更换；</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招标人动用储备肉时，无正当理由拒绝移交或提供不合格储备肉，导致市场供应受影响；</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拒绝、阻碍招标人监督检查，或伪造、销毁履约证据；</w:t>
      </w:r>
      <w:r>
        <w:rPr>
          <w:rFonts w:hint="eastAsia" w:ascii="宋体" w:hAnsi="宋体" w:cs="宋体"/>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sz w:val="24"/>
        </w:rPr>
        <w:t xml:space="preserve">因</w:t>
      </w:r>
      <w:r>
        <w:rPr>
          <w:rFonts w:hint="eastAsia" w:ascii="宋体" w:hAnsi="宋体" w:cs="宋体"/>
          <w:color w:val="000000"/>
          <w:sz w:val="24"/>
        </w:rPr>
        <w:t xml:space="preserve">中标人管理问题导致储备肉变质、冷库坍塌等安全事故，造成重大损失或舆情风险。</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处罚措施：</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招标人有权提前终止合同；</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中标人须赔偿招标人因此产生的损失，包括重新采购的差价、应急调运费、检测费等；</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违约行为报送常州市发展和改革委员会、公共资源交易中心，记入企业信用黑名单，1-3年内禁止参与常州市市级物资储备类项目投标；</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若违约行为违反《粮食流通管理条例》《食品安全法》等法律法规，由招标人移交市场监管、粮食和储备等部门依法查处，追究法律责任。</w:t>
      </w:r>
      <w:r>
        <w:rPr>
          <w:rFonts w:hint="eastAsia" w:ascii="宋体" w:hAnsi="宋体" w:cs="宋体"/>
          <w:color w:val="000000"/>
          <w:sz w:val="24"/>
        </w:rPr>
      </w:r>
      <w:r/>
    </w:p>
    <w:p>
      <w:pPr>
        <w:pStyle w:val="1070"/>
        <w:ind w:firstLine="482"/>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（三）违约整改与申诉</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1.中标人收到违约通知后，须在规定时限内提交整改计划（轻微违约3日内，一般/严重违约5日内），整改完成后申请复查，复查合格方可解除违约状态；逾期未整改或复查不合格的，按“违约升级”处理。</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2.中标人对违约认定或处罚结果有异议的，可在收到通知后5个工作日内向招标人提交书面申诉材料（附佐证证据），招标人须在10个工作日内完成复核并出具复核意见，复核期间不停止处罚执行。</w:t>
      </w:r>
      <w:r>
        <w:rPr>
          <w:rFonts w:hint="eastAsia" w:ascii="宋体" w:hAnsi="宋体" w:cs="宋体"/>
          <w:sz w:val="24"/>
        </w:rPr>
      </w:r>
      <w:r/>
    </w:p>
    <w:p>
      <w:pPr>
        <w:pStyle w:val="1070"/>
        <w:ind w:firstLine="482"/>
        <w:jc w:val="left"/>
        <w:spacing w:line="360" w:lineRule="auto"/>
        <w:widowControl/>
        <w:rPr>
          <w:rFonts w:ascii="宋体" w:hAnsi="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cs="宋体"/>
          <w:b/>
          <w:bCs/>
          <w:color w:val="000000"/>
          <w:sz w:val="24"/>
        </w:rPr>
        <w:t xml:space="preserve">、</w:t>
      </w:r>
      <w:r>
        <w:rPr>
          <w:rFonts w:ascii="宋体" w:hAnsi="宋体" w:cs="宋体"/>
          <w:b/>
          <w:bCs/>
          <w:color w:val="000000"/>
          <w:sz w:val="24"/>
        </w:rPr>
        <w:t xml:space="preserve">付款方式</w:t>
      </w:r>
      <w:r>
        <w:rPr>
          <w:rFonts w:ascii="宋体" w:hAnsi="宋体" w:cs="宋体"/>
          <w:b/>
          <w:bCs/>
          <w:color w:val="000000"/>
          <w:sz w:val="24"/>
        </w:rPr>
      </w:r>
      <w:r/>
    </w:p>
    <w:p>
      <w:pPr>
        <w:pStyle w:val="1070"/>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rPr>
        <w:t xml:space="preserve">全部储备量到位经</w:t>
      </w:r>
      <w:r>
        <w:rPr>
          <w:rFonts w:hint="eastAsia" w:ascii="宋体" w:hAnsi="宋体" w:eastAsia="宋体" w:cs="宋体"/>
          <w:b/>
          <w:bCs/>
          <w:sz w:val="24"/>
          <w:lang w:eastAsia="zh-CN"/>
        </w:rPr>
        <w:t xml:space="preserve">招标人</w:t>
      </w:r>
      <w:r>
        <w:rPr>
          <w:rFonts w:hint="eastAsia" w:ascii="宋体" w:hAnsi="宋体" w:eastAsia="宋体" w:cs="宋体"/>
          <w:b/>
          <w:bCs/>
          <w:sz w:val="24"/>
        </w:rPr>
        <w:t xml:space="preserve">验收合格，且合同履行六个月后，</w:t>
      </w:r>
      <w:r>
        <w:rPr>
          <w:rFonts w:hint="eastAsia" w:ascii="宋体" w:hAnsi="宋体" w:eastAsia="宋体" w:cs="宋体"/>
          <w:b/>
          <w:bCs/>
          <w:sz w:val="24"/>
          <w:lang w:eastAsia="zh-CN"/>
        </w:rPr>
        <w:t xml:space="preserve">招标人</w:t>
      </w:r>
      <w:r>
        <w:rPr>
          <w:rFonts w:hint="eastAsia" w:ascii="宋体" w:hAnsi="宋体" w:eastAsia="宋体" w:cs="宋体"/>
          <w:b/>
          <w:bCs/>
          <w:sz w:val="24"/>
        </w:rPr>
        <w:t xml:space="preserve">根据</w:t>
      </w:r>
      <w:r>
        <w:rPr>
          <w:rFonts w:hint="eastAsia" w:ascii="宋体" w:hAnsi="宋体" w:eastAsia="宋体" w:cs="宋体"/>
          <w:b/>
          <w:bCs/>
          <w:sz w:val="24"/>
          <w:lang w:eastAsia="zh-CN"/>
        </w:rPr>
        <w:t xml:space="preserve">中标人</w:t>
      </w:r>
      <w:r>
        <w:rPr>
          <w:rFonts w:hint="eastAsia" w:ascii="宋体" w:hAnsi="宋体" w:eastAsia="宋体" w:cs="宋体"/>
          <w:b/>
          <w:bCs/>
          <w:sz w:val="24"/>
        </w:rPr>
        <w:t xml:space="preserve">提供的正规税务发票支付至合同价款的50%，合同履行完毕经</w:t>
      </w:r>
      <w:r>
        <w:rPr>
          <w:rFonts w:hint="eastAsia" w:ascii="宋体" w:hAnsi="宋体" w:eastAsia="宋体" w:cs="宋体"/>
          <w:b/>
          <w:bCs/>
          <w:sz w:val="24"/>
          <w:lang w:eastAsia="zh-CN"/>
        </w:rPr>
        <w:t xml:space="preserve">招标人</w:t>
      </w:r>
      <w:r>
        <w:rPr>
          <w:rFonts w:hint="eastAsia" w:ascii="宋体" w:hAnsi="宋体" w:eastAsia="宋体" w:cs="宋体"/>
          <w:b/>
          <w:bCs/>
          <w:sz w:val="24"/>
        </w:rPr>
        <w:t xml:space="preserve">验收合格支付至合同款的100%。</w:t>
      </w:r>
      <w:r>
        <w:rPr>
          <w:rFonts w:hint="eastAsia" w:ascii="宋体" w:hAnsi="宋体" w:eastAsia="宋体" w:cs="宋体"/>
          <w:sz w:val="24"/>
        </w:rPr>
      </w:r>
      <w:r/>
    </w:p>
    <w:p>
      <w:pPr>
        <w:pStyle w:val="1070"/>
        <w:rPr>
          <w:rFonts w:ascii="宋体" w:hAnsi="宋体"/>
          <w:bCs/>
        </w:rPr>
      </w:pPr>
      <w:r>
        <w:rPr>
          <w:rFonts w:ascii="宋体" w:hAnsi="宋体"/>
          <w:bCs/>
        </w:rPr>
      </w:r>
      <w:r/>
    </w:p>
    <w:p>
      <w:pPr>
        <w:pStyle w:val="1070"/>
        <w:rPr>
          <w:rFonts w:ascii="宋体" w:hAnsi="宋体"/>
        </w:rPr>
      </w:pPr>
      <w:r>
        <w:rPr>
          <w:rFonts w:ascii="宋体" w:hAnsi="宋体"/>
        </w:rPr>
      </w:r>
      <w:r/>
    </w:p>
    <w:p>
      <w:pPr>
        <w:pStyle w:val="1070"/>
        <w:jc w:val="left"/>
        <w:widowControl/>
        <w:rPr>
          <w:rFonts w:ascii="宋体" w:hAnsi="宋体"/>
          <w:b/>
          <w:sz w:val="36"/>
          <w:szCs w:val="36"/>
        </w:rPr>
      </w:pPr>
      <w:r>
        <w:rPr>
          <w:rFonts w:ascii="宋体" w:hAnsi="宋体"/>
          <w:b/>
          <w:sz w:val="36"/>
          <w:szCs w:val="36"/>
        </w:rPr>
        <w:br w:type="page" w:clear="all"/>
      </w:r>
      <w:r>
        <w:rPr>
          <w:rFonts w:ascii="宋体" w:hAnsi="宋体"/>
          <w:b/>
          <w:sz w:val="36"/>
          <w:szCs w:val="36"/>
        </w:rPr>
        <w:t xml:space="preserve"> </w:t>
      </w:r>
      <w:r>
        <w:rPr>
          <w:rFonts w:ascii="宋体" w:hAnsi="宋体"/>
          <w:b/>
          <w:sz w:val="36"/>
          <w:szCs w:val="36"/>
        </w:rPr>
      </w:r>
      <w:r/>
    </w:p>
    <w:p>
      <w:pPr>
        <w:pStyle w:val="1070"/>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12"/>
        <w:spacing w:line="360" w:lineRule="auto"/>
        <w:rPr>
          <w:rFonts w:hAnsi="宋体" w:cs="宋体"/>
          <w:color w:val="000000"/>
          <w:sz w:val="24"/>
          <w:szCs w:val="24"/>
        </w:rPr>
      </w:pPr>
      <w:r>
        <w:rPr>
          <w:rFonts w:hAnsi="宋体" w:cs="宋体"/>
          <w:b/>
          <w:color w:val="000000"/>
          <w:sz w:val="24"/>
          <w:szCs w:val="24"/>
          <w:lang w:val="zh-CN"/>
        </w:rPr>
        <w:t xml:space="preserve">采购人（以下称甲</w:t>
      </w:r>
      <w:r>
        <w:rPr>
          <w:rFonts w:hAnsi="宋体" w:cs="宋体"/>
          <w:b/>
          <w:color w:val="000000"/>
          <w:sz w:val="24"/>
          <w:szCs w:val="24"/>
        </w:rPr>
        <w:t xml:space="preserve">方）:                         </w:t>
      </w:r>
      <w:r>
        <w:rPr>
          <w:rFonts w:hAnsi="宋体" w:cs="宋体"/>
          <w:color w:val="000000"/>
          <w:sz w:val="24"/>
          <w:szCs w:val="24"/>
        </w:rPr>
        <w:t xml:space="preserve">合同编号：</w:t>
      </w:r>
      <w:r>
        <w:rPr>
          <w:rFonts w:hAnsi="宋体" w:cs="宋体"/>
          <w:color w:val="000000"/>
          <w:sz w:val="24"/>
          <w:szCs w:val="24"/>
        </w:rPr>
      </w:r>
      <w:r/>
    </w:p>
    <w:p>
      <w:pPr>
        <w:pStyle w:val="1112"/>
        <w:spacing w:line="360" w:lineRule="auto"/>
        <w:rPr>
          <w:rFonts w:hAnsi="宋体" w:cs="宋体"/>
          <w:color w:val="000000"/>
          <w:sz w:val="24"/>
          <w:szCs w:val="24"/>
          <w:u w:val="single"/>
        </w:rPr>
      </w:pPr>
      <w:r>
        <w:rPr>
          <w:rFonts w:hAnsi="宋体" w:cs="宋体"/>
          <w:b/>
          <w:color w:val="000000"/>
          <w:sz w:val="24"/>
          <w:szCs w:val="24"/>
        </w:rPr>
        <w:t xml:space="preserve">投标人（</w:t>
      </w:r>
      <w:r>
        <w:rPr>
          <w:rFonts w:hAnsi="宋体" w:cs="宋体"/>
          <w:b/>
          <w:color w:val="000000"/>
          <w:sz w:val="24"/>
          <w:szCs w:val="24"/>
          <w:lang w:val="zh-CN"/>
        </w:rPr>
        <w:t xml:space="preserve">以下称</w:t>
      </w:r>
      <w:r>
        <w:rPr>
          <w:rFonts w:hAnsi="宋体" w:cs="宋体"/>
          <w:b/>
          <w:color w:val="000000"/>
          <w:sz w:val="24"/>
          <w:szCs w:val="24"/>
        </w:rPr>
        <w:t xml:space="preserve">乙方）:                         </w:t>
      </w:r>
      <w:r>
        <w:rPr>
          <w:rFonts w:hAnsi="宋体" w:cs="宋体"/>
          <w:color w:val="000000"/>
          <w:sz w:val="24"/>
          <w:szCs w:val="24"/>
        </w:rPr>
        <w:t xml:space="preserve">签订地点：</w:t>
      </w:r>
      <w:r>
        <w:rPr>
          <w:rFonts w:hAnsi="宋体" w:cs="宋体"/>
          <w:color w:val="000000"/>
          <w:sz w:val="24"/>
          <w:szCs w:val="24"/>
          <w:u w:val="single"/>
        </w:rPr>
      </w:r>
      <w:r/>
    </w:p>
    <w:p>
      <w:pPr>
        <w:pStyle w:val="1089"/>
        <w:ind w:firstLine="5520"/>
        <w:spacing w:line="360" w:lineRule="auto"/>
        <w:rPr>
          <w:rFonts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rPr>
          <w:rFonts w:hAnsi="宋体" w:cs="宋体"/>
          <w:b/>
          <w:color w:val="000000"/>
        </w:rPr>
      </w:r>
      <w:r/>
    </w:p>
    <w:p>
      <w:pPr>
        <w:pStyle w:val="1112"/>
        <w:ind w:firstLine="480"/>
        <w:spacing w:line="360" w:lineRule="auto"/>
        <w:rPr>
          <w:rFonts w:hAnsi="宋体" w:cs="宋体"/>
          <w:color w:val="000000"/>
          <w:sz w:val="24"/>
          <w:szCs w:val="24"/>
        </w:rPr>
      </w:pPr>
      <w:r>
        <w:rPr>
          <w:rFonts w:hAnsi="宋体" w:cs="宋体"/>
          <w:color w:val="000000"/>
          <w:sz w:val="24"/>
          <w:szCs w:val="24"/>
        </w:rPr>
        <w:t xml:space="preserve">甲乙双方依据《中华人民共和国民法典》以及有关法律、法规的规定，经协商一致，订立本合同，以便共同遵守。</w:t>
      </w:r>
      <w:r>
        <w:rPr>
          <w:rFonts w:hAnsi="宋体" w:cs="宋体"/>
          <w:color w:val="000000"/>
          <w:sz w:val="24"/>
          <w:szCs w:val="24"/>
        </w:rPr>
      </w:r>
      <w:r/>
    </w:p>
    <w:p>
      <w:pPr>
        <w:pStyle w:val="1112"/>
        <w:ind w:firstLine="482"/>
        <w:spacing w:line="360" w:lineRule="auto"/>
        <w:rPr>
          <w:rFonts w:hAnsi="宋体" w:cs="宋体"/>
          <w:b/>
          <w:color w:val="000000"/>
          <w:sz w:val="24"/>
          <w:szCs w:val="24"/>
        </w:rPr>
      </w:pPr>
      <w:r>
        <w:rPr>
          <w:rFonts w:hAnsi="宋体" w:cs="宋体"/>
          <w:b/>
          <w:color w:val="000000"/>
          <w:sz w:val="24"/>
          <w:szCs w:val="24"/>
        </w:rPr>
        <w:t xml:space="preserve">第一条 合同标的</w:t>
      </w:r>
      <w:r>
        <w:rPr>
          <w:rFonts w:hAnsi="宋体" w:cs="宋体"/>
          <w:b/>
          <w:color w:val="000000"/>
          <w:sz w:val="24"/>
          <w:szCs w:val="24"/>
        </w:rPr>
      </w:r>
      <w:r/>
    </w:p>
    <w:p>
      <w:pPr>
        <w:pStyle w:val="1070"/>
        <w:ind w:firstLine="480"/>
        <w:jc w:val="left"/>
        <w:spacing w:line="360" w:lineRule="auto"/>
        <w:widowControl/>
        <w:rPr>
          <w:rFonts w:ascii="宋体" w:hAnsi="宋体" w:cs="宋体"/>
          <w:color w:val="000000"/>
          <w:sz w:val="24"/>
          <w:lang w:val="zh-CN"/>
        </w:rPr>
      </w:pPr>
      <w:r>
        <w:rPr>
          <w:rFonts w:hint="eastAsia" w:ascii="宋体" w:hAnsi="宋体" w:cs="宋体"/>
          <w:sz w:val="24"/>
        </w:rPr>
        <w:t xml:space="preserve">为贯彻落实党中央国务院决策部署、省市有关文件精神，强化冻猪肉储备调节能力，切实做好猪肉市场保供稳价工作，保证市级冻猪肉储备数量真实、质量合格和储存安全，应对应急事态时能及时有效投放，确保完成市级冻猪肉储备任务。系指根据合同规定乙方须承担与服务有关的所有辅助服务</w:t>
      </w:r>
      <w:r>
        <w:rPr>
          <w:rFonts w:hint="eastAsia" w:ascii="宋体" w:hAnsi="宋体" w:cs="宋体"/>
          <w:color w:val="000000"/>
          <w:sz w:val="24"/>
          <w:lang w:val="zh-CN"/>
        </w:rPr>
        <w:t xml:space="preserve">。</w:t>
      </w:r>
      <w:r>
        <w:rPr>
          <w:rFonts w:ascii="宋体" w:hAnsi="宋体" w:cs="宋体"/>
          <w:color w:val="000000"/>
          <w:sz w:val="24"/>
          <w:lang w:val="zh-CN"/>
        </w:rPr>
      </w:r>
      <w:r/>
    </w:p>
    <w:p>
      <w:pPr>
        <w:pStyle w:val="1112"/>
        <w:ind w:firstLine="482"/>
        <w:spacing w:line="360" w:lineRule="auto"/>
        <w:rPr>
          <w:rFonts w:hAnsi="宋体" w:eastAsia="宋体" w:cs="宋体"/>
          <w:b/>
          <w:color w:val="000000"/>
          <w:sz w:val="24"/>
          <w:szCs w:val="24"/>
          <w:lang w:val="en-US" w:eastAsia="zh-CN"/>
        </w:rPr>
      </w:pPr>
      <w:r>
        <w:rPr>
          <w:rFonts w:hint="eastAsia" w:hAnsi="宋体" w:cs="宋体"/>
          <w:b/>
          <w:color w:val="000000"/>
          <w:sz w:val="24"/>
          <w:szCs w:val="24"/>
          <w:lang w:val="en-US" w:eastAsia="zh-CN"/>
        </w:rPr>
        <w:t xml:space="preserve">第二条 签约主体</w:t>
      </w:r>
      <w:r>
        <w:rPr>
          <w:rFonts w:hAnsi="宋体" w:eastAsia="宋体" w:cs="宋体"/>
          <w:b/>
          <w:color w:val="000000"/>
          <w:sz w:val="24"/>
          <w:szCs w:val="24"/>
          <w:lang w:val="en-US" w:eastAsia="zh-CN"/>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常州市发展和改革委员会负责与乙方签订常州市市级冻猪肉储备管理协议，并依照协议履行相应的权利义务。</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乙方作为市级冻猪肉储备企业，依照本协议履行常州市市级冻猪肉储备管理权利义务。</w:t>
      </w:r>
      <w:r>
        <w:rPr>
          <w:rFonts w:hint="eastAsia" w:ascii="宋体" w:hAnsi="宋体" w:eastAsia="宋体" w:cs="宋体"/>
          <w:sz w:val="24"/>
        </w:rPr>
      </w:r>
      <w:r/>
    </w:p>
    <w:p>
      <w:pPr>
        <w:pStyle w:val="1112"/>
        <w:ind w:firstLine="482"/>
        <w:spacing w:line="360" w:lineRule="auto"/>
        <w:rPr>
          <w:rFonts w:hAnsi="宋体" w:cs="宋体"/>
          <w:b/>
          <w:color w:val="000000"/>
          <w:sz w:val="24"/>
          <w:szCs w:val="24"/>
        </w:rPr>
      </w:pPr>
      <w:r>
        <w:rPr>
          <w:rFonts w:hAnsi="宋体" w:cs="宋体"/>
          <w:b/>
          <w:color w:val="000000"/>
          <w:sz w:val="24"/>
          <w:szCs w:val="24"/>
        </w:rPr>
        <w:t xml:space="preserve">第</w:t>
      </w:r>
      <w:r>
        <w:rPr>
          <w:rFonts w:hint="eastAsia" w:hAnsi="宋体" w:cs="宋体"/>
          <w:b/>
          <w:color w:val="000000"/>
          <w:sz w:val="24"/>
          <w:szCs w:val="24"/>
          <w:lang w:val="en-US" w:eastAsia="zh-CN"/>
        </w:rPr>
        <w:t xml:space="preserve">三</w:t>
      </w:r>
      <w:r>
        <w:rPr>
          <w:rFonts w:hAnsi="宋体" w:cs="宋体"/>
          <w:b/>
          <w:color w:val="000000"/>
          <w:sz w:val="24"/>
          <w:szCs w:val="24"/>
        </w:rPr>
        <w:t xml:space="preserve">条 合同</w:t>
      </w:r>
      <w:r>
        <w:rPr>
          <w:rFonts w:hAnsi="宋体" w:cs="宋体"/>
          <w:b/>
          <w:color w:val="000000"/>
          <w:sz w:val="24"/>
          <w:szCs w:val="24"/>
        </w:rPr>
        <w:t xml:space="preserve">价格</w:t>
      </w:r>
      <w:r>
        <w:rPr>
          <w:rFonts w:hAnsi="宋体" w:cs="宋体"/>
          <w:b/>
          <w:color w:val="000000"/>
          <w:sz w:val="24"/>
          <w:szCs w:val="24"/>
        </w:rPr>
      </w:r>
      <w:r/>
    </w:p>
    <w:p>
      <w:pPr>
        <w:pStyle w:val="1112"/>
        <w:ind w:firstLine="482"/>
        <w:jc w:val="left"/>
        <w:spacing w:line="360" w:lineRule="auto"/>
        <w:rPr>
          <w:rFonts w:hAnsi="宋体" w:cs="宋体"/>
          <w:b/>
          <w:color w:val="000000"/>
          <w:sz w:val="24"/>
          <w:szCs w:val="24"/>
        </w:rPr>
      </w:pPr>
      <w:r>
        <w:rPr>
          <w:rFonts w:hAnsi="宋体" w:cs="宋体"/>
          <w:b/>
          <w:color w:val="000000"/>
          <w:sz w:val="24"/>
          <w:szCs w:val="24"/>
        </w:rPr>
        <w:t xml:space="preserve">签约合同总价（人民币，下同）：</w:t>
      </w:r>
      <w:r>
        <w:rPr>
          <w:rFonts w:hAnsi="宋体" w:cs="宋体"/>
          <w:b/>
          <w:color w:val="000000"/>
          <w:sz w:val="24"/>
          <w:szCs w:val="24"/>
          <w:u w:val="single"/>
        </w:rPr>
        <w:t xml:space="preserve">             元</w:t>
      </w:r>
      <w:r>
        <w:rPr>
          <w:rFonts w:hAnsi="宋体" w:cs="宋体"/>
          <w:b/>
          <w:color w:val="000000"/>
          <w:sz w:val="24"/>
          <w:szCs w:val="24"/>
        </w:rPr>
        <w:t xml:space="preserve">（小写</w:t>
      </w:r>
      <w:r>
        <w:rPr>
          <w:rFonts w:hint="eastAsia" w:hAnsi="宋体" w:cs="宋体"/>
          <w:b/>
          <w:color w:val="000000"/>
          <w:sz w:val="24"/>
          <w:szCs w:val="24"/>
          <w:lang w:eastAsia="zh-CN"/>
        </w:rPr>
        <w:t xml:space="preserve">：</w:t>
      </w:r>
      <w:r>
        <w:rPr>
          <w:rFonts w:hAnsi="宋体" w:cs="宋体"/>
          <w:b/>
          <w:color w:val="000000"/>
          <w:sz w:val="24"/>
          <w:szCs w:val="24"/>
        </w:rPr>
        <w:t xml:space="preserve">      ）。 </w:t>
      </w:r>
      <w:r>
        <w:rPr>
          <w:rFonts w:hAnsi="宋体" w:cs="宋体"/>
          <w:b/>
          <w:color w:val="000000"/>
          <w:sz w:val="24"/>
          <w:szCs w:val="24"/>
        </w:rPr>
      </w:r>
      <w:r/>
    </w:p>
    <w:p>
      <w:pPr>
        <w:pStyle w:val="1112"/>
        <w:ind w:firstLine="482"/>
        <w:spacing w:line="360" w:lineRule="auto"/>
        <w:rPr>
          <w:rFonts w:hAnsi="宋体" w:cs="宋体"/>
          <w:b/>
          <w:color w:val="000000"/>
          <w:sz w:val="24"/>
          <w:szCs w:val="24"/>
        </w:rPr>
      </w:pPr>
      <w:r>
        <w:rPr>
          <w:rFonts w:hAnsi="宋体" w:cs="宋体"/>
          <w:b/>
          <w:color w:val="000000"/>
          <w:sz w:val="24"/>
          <w:szCs w:val="24"/>
        </w:rPr>
        <w:t xml:space="preserve">第</w:t>
      </w:r>
      <w:r>
        <w:rPr>
          <w:rFonts w:hint="eastAsia" w:hAnsi="宋体" w:cs="宋体"/>
          <w:b/>
          <w:color w:val="000000"/>
          <w:sz w:val="24"/>
          <w:szCs w:val="24"/>
          <w:lang w:val="en-US" w:eastAsia="zh-CN"/>
        </w:rPr>
        <w:t xml:space="preserve">四</w:t>
      </w:r>
      <w:r>
        <w:rPr>
          <w:rFonts w:hAnsi="宋体" w:cs="宋体"/>
          <w:b/>
          <w:color w:val="000000"/>
          <w:sz w:val="24"/>
          <w:szCs w:val="24"/>
        </w:rPr>
        <w:t xml:space="preserve">条 合同履行期限</w:t>
      </w:r>
      <w:r>
        <w:rPr>
          <w:rFonts w:hAnsi="宋体" w:cs="宋体"/>
          <w:b/>
          <w:color w:val="000000"/>
          <w:sz w:val="24"/>
          <w:szCs w:val="24"/>
        </w:rPr>
      </w:r>
      <w:r/>
    </w:p>
    <w:p>
      <w:pPr>
        <w:pStyle w:val="1070"/>
        <w:ind w:firstLine="480"/>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服务期2年，合同一年一签，每年合同期满经招标人考核合格后续签下一年度合同。</w:t>
      </w:r>
      <w:r>
        <w:rPr>
          <w:rFonts w:hint="eastAsia" w:ascii="宋体" w:hAnsi="宋体" w:eastAsia="宋体" w:cs="宋体"/>
          <w:color w:val="000000"/>
          <w:sz w:val="24"/>
        </w:rPr>
        <w:t xml:space="preserve">乙方负责储备冻猪肉</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本合同协议期限：起始     年     月     日至     年      月    日止。</w:t>
      </w:r>
      <w:r>
        <w:rPr>
          <w:rFonts w:hint="eastAsia" w:ascii="宋体" w:hAnsi="宋体" w:eastAsia="宋体" w:cs="宋体"/>
          <w:color w:val="000000"/>
          <w:sz w:val="24"/>
          <w:szCs w:val="24"/>
          <w:lang w:val="en-US" w:eastAsia="zh-CN" w:bidi="ar-SA"/>
        </w:rPr>
      </w:r>
      <w:r/>
    </w:p>
    <w:p>
      <w:pPr>
        <w:pStyle w:val="1112"/>
        <w:ind w:firstLine="482"/>
        <w:spacing w:line="360" w:lineRule="auto"/>
        <w:rPr>
          <w:rFonts w:hAnsi="宋体" w:cs="宋体"/>
          <w:b/>
          <w:color w:val="000000"/>
          <w:sz w:val="24"/>
          <w:szCs w:val="24"/>
        </w:rPr>
      </w:pPr>
      <w:r>
        <w:rPr>
          <w:rFonts w:hAnsi="宋体" w:cs="宋体"/>
          <w:b/>
          <w:color w:val="000000"/>
          <w:sz w:val="24"/>
          <w:szCs w:val="24"/>
        </w:rPr>
        <w:t xml:space="preserve">第</w:t>
      </w:r>
      <w:r>
        <w:rPr>
          <w:rFonts w:hint="eastAsia" w:hAnsi="宋体" w:cs="宋体"/>
          <w:b/>
          <w:color w:val="000000"/>
          <w:sz w:val="24"/>
          <w:szCs w:val="24"/>
          <w:lang w:val="en-US" w:eastAsia="zh-CN"/>
        </w:rPr>
        <w:t xml:space="preserve">五</w:t>
      </w:r>
      <w:r>
        <w:rPr>
          <w:rFonts w:hAnsi="宋体" w:cs="宋体"/>
          <w:b/>
          <w:color w:val="000000"/>
          <w:sz w:val="24"/>
          <w:szCs w:val="24"/>
        </w:rPr>
        <w:t xml:space="preserve">条 组成本合同的有关文件</w:t>
      </w:r>
      <w:r>
        <w:rPr>
          <w:rFonts w:hAnsi="宋体" w:cs="宋体"/>
          <w:b/>
          <w:color w:val="000000"/>
          <w:sz w:val="24"/>
          <w:szCs w:val="24"/>
        </w:rPr>
      </w:r>
      <w:r/>
    </w:p>
    <w:p>
      <w:pPr>
        <w:pStyle w:val="1112"/>
        <w:ind w:firstLine="480"/>
        <w:spacing w:line="360" w:lineRule="auto"/>
        <w:rPr>
          <w:rFonts w:hAnsi="宋体" w:cs="宋体"/>
          <w:color w:val="000000"/>
          <w:sz w:val="24"/>
          <w:szCs w:val="24"/>
        </w:rPr>
      </w:pPr>
      <w:r>
        <w:rPr>
          <w:rFonts w:hAnsi="宋体" w:cs="宋体"/>
          <w:color w:val="000000"/>
          <w:sz w:val="24"/>
          <w:szCs w:val="24"/>
        </w:rPr>
        <w:t xml:space="preserve">下列与本次采购活动有关的文件及有关附件是本合同</w:t>
      </w:r>
      <w:r>
        <w:rPr>
          <w:rFonts w:hAnsi="宋体" w:cs="宋体"/>
          <w:color w:val="000000"/>
          <w:sz w:val="24"/>
          <w:szCs w:val="24"/>
        </w:rPr>
        <w:t xml:space="preserve">不可分割的组成部分，与本合同具有同等法律效力，这些文件包括但不限于：</w:t>
      </w:r>
      <w:r>
        <w:rPr>
          <w:rFonts w:hAnsi="宋体" w:cs="宋体"/>
          <w:color w:val="000000"/>
          <w:sz w:val="24"/>
          <w:szCs w:val="24"/>
        </w:rPr>
      </w:r>
      <w:r/>
    </w:p>
    <w:p>
      <w:pPr>
        <w:pStyle w:val="1112"/>
        <w:ind w:firstLine="480"/>
        <w:spacing w:line="360" w:lineRule="auto"/>
        <w:rPr>
          <w:rFonts w:hAnsi="宋体" w:cs="宋体"/>
          <w:color w:val="000000"/>
          <w:sz w:val="24"/>
          <w:szCs w:val="24"/>
        </w:rPr>
      </w:pPr>
      <w:r>
        <w:rPr>
          <w:rFonts w:hAnsi="宋体" w:cs="宋体"/>
          <w:color w:val="000000"/>
          <w:sz w:val="24"/>
          <w:szCs w:val="24"/>
        </w:rPr>
        <w:t xml:space="preserve">（1）招标采购文件（编号：   ）           （2）乙方提供的投标文件； </w:t>
      </w:r>
      <w:r>
        <w:rPr>
          <w:rFonts w:hAnsi="宋体" w:cs="宋体"/>
          <w:color w:val="000000"/>
          <w:sz w:val="24"/>
          <w:szCs w:val="24"/>
        </w:rPr>
      </w:r>
      <w:r/>
    </w:p>
    <w:p>
      <w:pPr>
        <w:pStyle w:val="1112"/>
        <w:ind w:firstLine="480"/>
        <w:spacing w:line="360" w:lineRule="auto"/>
        <w:rPr>
          <w:rFonts w:hAnsi="宋体" w:cs="宋体"/>
          <w:color w:val="000000"/>
          <w:sz w:val="24"/>
          <w:szCs w:val="24"/>
        </w:rPr>
      </w:pPr>
      <w:r>
        <w:rPr>
          <w:rFonts w:hAnsi="宋体" w:cs="宋体"/>
          <w:color w:val="000000"/>
          <w:sz w:val="24"/>
          <w:szCs w:val="24"/>
        </w:rPr>
        <w:t xml:space="preserve">（3）中标通知书；                        （4）甲乙双方商定的其他文件等。</w:t>
      </w:r>
      <w:r>
        <w:rPr>
          <w:rFonts w:hAnsi="宋体" w:cs="宋体"/>
          <w:color w:val="000000"/>
          <w:sz w:val="24"/>
          <w:szCs w:val="24"/>
        </w:rPr>
      </w:r>
      <w:r/>
    </w:p>
    <w:p>
      <w:pPr>
        <w:pStyle w:val="1070"/>
        <w:ind w:firstLine="482"/>
        <w:spacing w:line="360" w:lineRule="auto"/>
        <w:rPr>
          <w:rFonts w:ascii="宋体" w:hAnsi="宋体" w:cs="宋体"/>
          <w:b/>
          <w:color w:val="000000"/>
          <w:sz w:val="24"/>
          <w:highlight w:val="none"/>
        </w:rPr>
      </w:pPr>
      <w:r>
        <w:rPr>
          <w:rFonts w:hint="eastAsia" w:ascii="宋体" w:hAnsi="宋体" w:cs="宋体"/>
          <w:b/>
          <w:sz w:val="24"/>
        </w:rPr>
        <w:t xml:space="preserve">第</w:t>
      </w:r>
      <w:r>
        <w:rPr>
          <w:rFonts w:hint="eastAsia" w:ascii="宋体" w:hAnsi="宋体" w:cs="宋体"/>
          <w:b/>
          <w:sz w:val="24"/>
          <w:lang w:val="en-US" w:eastAsia="zh-CN"/>
        </w:rPr>
        <w:t xml:space="preserve">六</w:t>
      </w:r>
      <w:r>
        <w:rPr>
          <w:rFonts w:hint="eastAsia" w:ascii="宋体" w:hAnsi="宋体" w:cs="宋体"/>
          <w:b/>
          <w:color w:val="000000"/>
          <w:sz w:val="24"/>
          <w:highlight w:val="none"/>
        </w:rPr>
        <w:t xml:space="preserve">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0"/>
        <w:ind w:firstLine="480"/>
        <w:spacing w:line="360" w:lineRule="auto"/>
        <w:rPr>
          <w:rFonts w:ascii="宋体" w:hAnsi="宋体" w:cs="宋体"/>
          <w:color w:val="ff0000"/>
          <w:sz w:val="24"/>
        </w:rPr>
      </w:pPr>
      <w:r>
        <w:rPr>
          <w:rFonts w:hint="eastAsia" w:ascii="宋体" w:hAnsi="宋体" w:cs="宋体"/>
          <w:color w:val="000000"/>
          <w:sz w:val="24"/>
          <w:highlight w:val="none"/>
        </w:rPr>
        <w:t xml:space="preserve">4.付款方式：</w:t>
      </w:r>
      <w:r>
        <w:rPr>
          <w:rFonts w:hint="eastAsia" w:ascii="宋体" w:hAnsi="宋体" w:eastAsia="宋体" w:cs="宋体"/>
          <w:b/>
          <w:bCs/>
          <w:color w:val="000000"/>
          <w:sz w:val="24"/>
          <w:highlight w:val="none"/>
        </w:rPr>
        <w:t xml:space="preserve">全部储备</w:t>
      </w:r>
      <w:r>
        <w:rPr>
          <w:rFonts w:hint="eastAsia" w:ascii="宋体" w:hAnsi="宋体" w:eastAsia="宋体" w:cs="宋体"/>
          <w:b/>
          <w:bCs/>
          <w:sz w:val="24"/>
        </w:rPr>
        <w:t xml:space="preserve">量到位经</w:t>
      </w:r>
      <w:r>
        <w:rPr>
          <w:rFonts w:hint="eastAsia" w:ascii="宋体" w:hAnsi="宋体" w:eastAsia="宋体" w:cs="宋体"/>
          <w:b/>
          <w:bCs/>
          <w:sz w:val="24"/>
          <w:lang w:eastAsia="zh-CN"/>
        </w:rPr>
        <w:t xml:space="preserve">招标人</w:t>
      </w:r>
      <w:r>
        <w:rPr>
          <w:rFonts w:hint="eastAsia" w:ascii="宋体" w:hAnsi="宋体" w:eastAsia="宋体" w:cs="宋体"/>
          <w:b/>
          <w:bCs/>
          <w:sz w:val="24"/>
        </w:rPr>
        <w:t xml:space="preserve">验收合格，且合同履行六个月后，</w:t>
      </w:r>
      <w:r>
        <w:rPr>
          <w:rFonts w:hint="eastAsia" w:ascii="宋体" w:hAnsi="宋体" w:eastAsia="宋体" w:cs="宋体"/>
          <w:b/>
          <w:bCs/>
          <w:sz w:val="24"/>
          <w:lang w:eastAsia="zh-CN"/>
        </w:rPr>
        <w:t xml:space="preserve">招标人</w:t>
      </w:r>
      <w:r>
        <w:rPr>
          <w:rFonts w:hint="eastAsia" w:ascii="宋体" w:hAnsi="宋体" w:eastAsia="宋体" w:cs="宋体"/>
          <w:b/>
          <w:bCs/>
          <w:sz w:val="24"/>
        </w:rPr>
        <w:t xml:space="preserve">根据</w:t>
      </w:r>
      <w:r>
        <w:rPr>
          <w:rFonts w:hint="eastAsia" w:ascii="宋体" w:hAnsi="宋体" w:eastAsia="宋体" w:cs="宋体"/>
          <w:b/>
          <w:bCs/>
          <w:sz w:val="24"/>
          <w:lang w:eastAsia="zh-CN"/>
        </w:rPr>
        <w:t xml:space="preserve">中标人</w:t>
      </w:r>
      <w:r>
        <w:rPr>
          <w:rFonts w:hint="eastAsia" w:ascii="宋体" w:hAnsi="宋体" w:eastAsia="宋体" w:cs="宋体"/>
          <w:b/>
          <w:bCs/>
          <w:sz w:val="24"/>
        </w:rPr>
        <w:t xml:space="preserve">提供的正规税务发票支付至合同价款的50%，合同履行完毕经</w:t>
      </w:r>
      <w:r>
        <w:rPr>
          <w:rFonts w:hint="eastAsia" w:ascii="宋体" w:hAnsi="宋体" w:eastAsia="宋体" w:cs="宋体"/>
          <w:b/>
          <w:bCs/>
          <w:sz w:val="24"/>
          <w:lang w:eastAsia="zh-CN"/>
        </w:rPr>
        <w:t xml:space="preserve">招标人</w:t>
      </w:r>
      <w:r>
        <w:rPr>
          <w:rFonts w:hint="eastAsia" w:ascii="宋体" w:hAnsi="宋体" w:eastAsia="宋体" w:cs="宋体"/>
          <w:b/>
          <w:bCs/>
          <w:sz w:val="24"/>
        </w:rPr>
        <w:t xml:space="preserve">验收合格支付至合同款的100%。</w:t>
      </w:r>
      <w:r>
        <w:rPr>
          <w:rFonts w:ascii="宋体" w:hAnsi="宋体" w:cs="宋体"/>
          <w:color w:val="ff0000"/>
          <w:sz w:val="24"/>
        </w:rPr>
      </w:r>
      <w:r/>
    </w:p>
    <w:p>
      <w:pPr>
        <w:pStyle w:val="1070"/>
        <w:ind w:firstLine="482"/>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第七条 储备原则</w:t>
      </w:r>
      <w:r>
        <w:rPr>
          <w:rFonts w:hint="eastAsia" w:ascii="宋体" w:hAnsi="宋体" w:cs="宋体"/>
          <w:b/>
          <w:sz w:val="24"/>
          <w:lang w:val="en-US" w:eastAsia="zh-CN"/>
        </w:rPr>
      </w:r>
      <w:r/>
    </w:p>
    <w:p>
      <w:pPr>
        <w:pStyle w:val="1070"/>
        <w:ind w:firstLine="480"/>
        <w:spacing w:line="360" w:lineRule="auto"/>
        <w:rPr>
          <w:lang w:val="en-US" w:eastAsia="zh-CN"/>
        </w:rPr>
      </w:pPr>
      <w:r>
        <w:rPr>
          <w:rFonts w:ascii="宋体" w:hAnsi="宋体" w:eastAsia="宋体" w:cs="宋体"/>
          <w:color w:val="000000"/>
          <w:sz w:val="24"/>
          <w:highlight w:val="none"/>
          <w:lang w:val="en-US" w:eastAsia="zh-CN"/>
        </w:rPr>
        <w:t xml:space="preserve">政府冻猪肉储备是应对重大自然灾害、公共卫生事件、动物疫情或者其他突发事件引发市场价格异常波动和市场调控而储备的冻猪肉。储备要坚持市场运作、政府补贴、常年储备、确保安全、定期轮换、保证供应的原则。做到储得进、管得好、调得动、用得上，有效发挥其储备功能作用，切实保障猪肉供应不断档、不脱销。</w:t>
      </w:r>
      <w:r>
        <w:rPr>
          <w:lang w:val="en-US" w:eastAsia="zh-CN"/>
        </w:rPr>
      </w:r>
      <w:r/>
    </w:p>
    <w:p>
      <w:pPr>
        <w:pStyle w:val="1070"/>
        <w:ind w:firstLine="482"/>
        <w:spacing w:line="360" w:lineRule="auto"/>
        <w:rPr>
          <w:rFonts w:ascii="宋体" w:hAnsi="宋体" w:eastAsia="宋体" w:cs="宋体"/>
          <w:b/>
          <w:sz w:val="24"/>
          <w:lang w:val="en-US" w:eastAsia="zh-CN"/>
        </w:rPr>
      </w:pPr>
      <w:r>
        <w:rPr>
          <w:rFonts w:hint="eastAsia" w:ascii="宋体" w:hAnsi="宋体" w:cs="宋体"/>
          <w:b/>
          <w:sz w:val="24"/>
          <w:lang w:val="en-US" w:eastAsia="zh-CN"/>
        </w:rPr>
        <w:t xml:space="preserve">第八条 甲、乙双方责任</w:t>
      </w:r>
      <w:r>
        <w:rPr>
          <w:rFonts w:ascii="宋体" w:hAnsi="宋体" w:eastAsia="宋体" w:cs="宋体"/>
          <w:b/>
          <w:sz w:val="24"/>
          <w:lang w:val="en-US" w:eastAsia="zh-CN"/>
        </w:rPr>
      </w:r>
      <w:r/>
    </w:p>
    <w:p>
      <w:pPr>
        <w:pStyle w:val="1070"/>
        <w:ind w:firstLine="482"/>
        <w:jc w:val="left"/>
        <w:spacing w:line="360" w:lineRule="auto"/>
        <w:widowControl/>
        <w:rPr>
          <w:rFonts w:hint="eastAsia" w:ascii="宋体" w:hAnsi="宋体" w:eastAsia="宋体" w:cs="宋体"/>
          <w:sz w:val="24"/>
        </w:rPr>
      </w:pPr>
      <w:r>
        <w:rPr>
          <w:rFonts w:hint="eastAsia" w:ascii="宋体" w:hAnsi="宋体" w:cs="宋体"/>
          <w:b/>
          <w:bCs/>
          <w:sz w:val="24"/>
        </w:rPr>
        <w:t xml:space="preserve">（一）甲方责任</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储备管理</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甲方对储备冻猪肉数量、质量和储备安全实施监督检查，按有关规定监督实施储备冻猪肉入储、更新轮换及动用工作。乙方未经甲方书面同意，产生实际存储数量不足的情况，甲方有权根据实际情况调整乙方承储数量，或解除储备合同，造成的损失由乙方承担。</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甲方建立储备冻猪肉监管制度，对乙方的基本情况、储备冻猪肉动态管理信息进行监管，对承储企业进行定期或不定期现场检查，重点检查储备冻猪肉在库储存数量、生产日期、入库时间、包装标识、商品存放、库温、产品温度、冷库及设施设备卫生管理情况、储备台帐制度、储备垛卡制度、储备肉信息监测制度等。</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动用管理</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eastAsia="宋体" w:cs="宋体"/>
          <w:sz w:val="24"/>
        </w:rPr>
        <w:t xml:space="preserve">当市场发生价格异常波动或发生重大突发事件、重大自然灾害等需动用储备冻猪肉时，甲方按照随行就市、保障供应的原则制定计划并指导乙方采取相关措施，优先供应我市猪肉市场。若按政府要求需按指定价格投放，甲方应将价差部分按实核算后另行补贴给乙方。</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.合同有效期内，甲方所需货品由乙方配送。</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.甲方与乙方签订供货合同（可参考甲方提供的协议书样本，未尽事项可以补充）。合同条款中应包含违约追究经济责任及其他责任的内容。</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.甲方有权参与本合同项目的全程监督与管理，及时收集群众意见，积极加强与乙方的业务联系。如有需要，可约见乙方，当面商定进一步完善工作的措施。</w:t>
      </w:r>
      <w:r>
        <w:rPr>
          <w:rFonts w:hint="eastAsia" w:ascii="宋体" w:hAnsi="宋体" w:cs="宋体"/>
          <w:sz w:val="24"/>
        </w:rPr>
      </w:r>
      <w:r/>
    </w:p>
    <w:p>
      <w:pPr>
        <w:pStyle w:val="1070"/>
        <w:ind w:firstLine="482"/>
        <w:jc w:val="left"/>
        <w:spacing w:line="360" w:lineRule="auto"/>
        <w:widowControl/>
        <w:rPr>
          <w:rFonts w:hint="eastAsia" w:ascii="宋体" w:hAnsi="宋体" w:cs="宋体"/>
          <w:sz w:val="24"/>
        </w:rPr>
      </w:pPr>
      <w:r>
        <w:rPr>
          <w:rFonts w:hint="eastAsia" w:ascii="宋体" w:hAnsi="宋体" w:cs="宋体"/>
          <w:b/>
          <w:bCs/>
          <w:sz w:val="24"/>
        </w:rPr>
        <w:t xml:space="preserve">（二）乙方责任</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1.乙方必须严格履行投标时的一切承诺。</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2.乙方承接甲方的猪肉储备服务工作，须具备：</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（1）稳定的冷冻猪肉经销渠道或深加工能力，便于储备冻肉的轮换管理。</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（2）具有组织、管理冷冻猪肉和冷库的能力和完善的食品安全保障制度，能够承担储备肉的安全责任。</w:t>
      </w:r>
      <w:r>
        <w:rPr>
          <w:rFonts w:hint="eastAsia"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（3）在库管理：猪肉储备必须实行专仓(专垛)承储、专人管理、专账记载、挂牌明示，确保账账相符、账实相符、质量良好和储存安全。</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4）轮换管理：冻猪肉储备每年至少1个轮次的更新，确保承储期限到期时或招标人动用时储备猪肉在保质期限内。乙方可以按更新轮换、保证质量的要求自行出售储备冻肉，自负盈亏；更新轮换过程中，允许实际冻肉储备库存数量有所波动，但全年月末库存平均数不得低于承储数量的</w:t>
      </w:r>
      <w:r>
        <w:rPr>
          <w:rFonts w:ascii="宋体" w:hAnsi="宋体" w:cs="宋体"/>
          <w:sz w:val="24"/>
        </w:rPr>
        <w:t xml:space="preserve">100%</w:t>
      </w:r>
      <w:r>
        <w:rPr>
          <w:rFonts w:hint="eastAsia" w:ascii="宋体" w:hAnsi="宋体" w:cs="宋体"/>
          <w:sz w:val="24"/>
        </w:rPr>
        <w:t xml:space="preserve">。</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5）质量管理：猪肉储备入库质量由乙方依法取得国家法定检疫机构按批次出具的动物产品检疫检验合格证明，在库品质检验检测由甲方委托具有法定检测资质的机构对储备商品进行在库质量检验检测并出具检测报告，并报常州市发展和改革委员会粮食和物资储备处备案，确保储备肉质量与安全。</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（6）在遭遇疫情及其他自然灾害时，乙方应积极采取应对措施，所造成的损失由乙方自行承担。</w:t>
      </w:r>
      <w:r>
        <w:rPr>
          <w:rFonts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3.乙方应保证储备肉的数量、质量和种类均达到合同约定的标准。当甲方需动用储备肉时，乙方应按照采购人下达的储备肉动用计划，及时、足量、保质地将储备肉移交给甲方处理，或根据甲方计划安排有偿进行市场投放。</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4.为加快储备肉轮换更新，储备期内乙方部分储备肉用于日常生产经营，但必须遵守以下规则：</w:t>
      </w:r>
      <w:r>
        <w:rPr>
          <w:rFonts w:hint="eastAsia" w:ascii="宋体" w:hAnsi="宋体" w:cs="宋体"/>
          <w:sz w:val="24"/>
        </w:rPr>
        <w:tab/>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（1）日常储备量不得少于合同规定数量的90%；</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（2）具备可信赖的应急能力，如甲方需动用储备肉，乙方应当能在5日内调集缺额部分以满足甲方的应急需求。</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5.储备肉的正常轮换更新费用和市场差价由乙方承担。乙方必须做好储备肉出入库、轮换更新、检验检测等台帐工作，以备甲方检查。</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6.乙方必须高度重视安全生产。保管期间，由于管理不善或作业工人操作不规范等因素造成的安全事故，均由乙方承担一切责任和损失。</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7.乙方必须自觉接受甲方的定期（每季度不少于1次）或不定期检查和考核。甲方会不定期抽查乙方的储备情况，如达不到合同约定的吨位，甲方有权利终止合同。</w:t>
      </w:r>
      <w:r>
        <w:rPr>
          <w:rFonts w:hint="eastAsia" w:ascii="宋体" w:hAnsi="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乙方应建立健全内部各项管理制度，加强储备冻猪肉日常管理，严格在库管理，储备冻猪肉实行专仓(专垛)储存、专人管理、专账记载和挂牌明示，确保账账相符、账实相符，质量良好和储存安全。乙方发现问题，应及时报告甲方，乙方对相关政府部门的监督检查，应予以配合，不得拒绝、阻挠。</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乙方应当建立储备冻猪肉统计报表制度，不得虚报储备冻猪肉数量，在每月后的5个工作日内填报《储备冻猪肉库存月度统计报表》，并报送给甲方。若发生重大自然灾害、公共卫生事件、动物疫情或者其他突发事件引发市场价格异常波动等现象，应当认定为发生特殊紧急情况，按甲方要求实行日报制。</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在储备入储、轮换更新时，乙方应在15日内及时、保质、等量轮入，乙方组织的储备冻猪肉应当符合国家相关卫生质量安全标准，并向甲方提供有资质的质检单位出具的检疫证明，特殊情况不能按时轮入的，须报甲方批准同意；如因特殊情况未能按合同规定完成储备任务或需调整合同任务，应提前十天向甲方报告，由甲方决定调整或取消其储备任务。</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当市场发生价格异常波动或发生重大突发事件、重大自然灾害等需动用储备冻猪肉时，乙方须按照甲方下达的储备冻猪肉动用计划及时准备储备冻猪肉，并提供相关的检验检疫合格证明，及时、足额、保质地将储备冻猪肉移交给甲方，或根据甲方计划安排组织市场有序投放，并每日向甲方上报当日的出入库和投放量等基本数据及情况。</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12.保密责任</w:t>
      </w:r>
      <w:r>
        <w:rPr>
          <w:rFonts w:hint="eastAsia" w:ascii="宋体" w:hAnsi="宋体" w:eastAsia="宋体" w:cs="宋体"/>
          <w:sz w:val="24"/>
          <w:lang w:val="en-US" w:eastAsia="zh-CN"/>
        </w:rPr>
      </w:r>
      <w:r/>
    </w:p>
    <w:p>
      <w:pPr>
        <w:pStyle w:val="1070"/>
        <w:ind w:firstLine="480"/>
        <w:jc w:val="left"/>
        <w:spacing w:line="360" w:lineRule="auto"/>
        <w:widowControl/>
        <w:rPr>
          <w:rFonts w:hint="eastAsia" w:ascii="宋体" w:hAnsi="宋体" w:eastAsia="宋体"/>
          <w:color w:val="000000"/>
          <w:sz w:val="28"/>
          <w:szCs w:val="28"/>
          <w:u w:val="none"/>
          <w:lang w:val="en-US" w:eastAsia="zh-CN"/>
        </w:rPr>
      </w:pPr>
      <w:r>
        <w:rPr>
          <w:rFonts w:hint="eastAsia" w:ascii="宋体" w:hAnsi="宋体" w:eastAsia="宋体" w:cs="宋体"/>
          <w:sz w:val="24"/>
          <w:lang w:val="en-US" w:eastAsia="zh-CN"/>
        </w:rPr>
        <w:t xml:space="preserve">乙方对于在签订及履行本合同过程中所知悉的国家秘密、甲方员工的个人信息及其他未经甲方允许不得公开的信息承担保密义务，不得向任何第三方泄露。否则由乙方承担因此产生的一切法律责任，造成相关方损失的，由乙方予以赔偿。本保密期限为：永久保密。</w:t>
      </w:r>
      <w:r>
        <w:rPr>
          <w:rFonts w:hint="eastAsia" w:ascii="宋体" w:hAnsi="宋体" w:eastAsia="宋体"/>
          <w:color w:val="000000"/>
          <w:sz w:val="28"/>
          <w:szCs w:val="28"/>
          <w:u w:val="none"/>
          <w:lang w:val="en-US" w:eastAsia="zh-CN"/>
        </w:rPr>
      </w:r>
      <w:r/>
    </w:p>
    <w:p>
      <w:pPr>
        <w:pStyle w:val="1070"/>
        <w:ind w:firstLine="482"/>
        <w:jc w:val="left"/>
        <w:spacing w:line="360" w:lineRule="auto"/>
        <w:widowControl/>
        <w:rPr>
          <w:rFonts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九</w:t>
      </w:r>
      <w:r>
        <w:rPr>
          <w:rFonts w:hint="eastAsia" w:ascii="宋体" w:hAnsi="宋体" w:cs="宋体"/>
          <w:b/>
          <w:sz w:val="24"/>
        </w:rPr>
        <w:t xml:space="preserve">条 质量与验收</w:t>
      </w:r>
      <w:r>
        <w:rPr>
          <w:rFonts w:ascii="宋体" w:hAnsi="宋体" w:cs="宋体"/>
          <w:b/>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1.乙方应按照采购文件的有关规定向甲方提供约定的符合国家质量要求的冻肉储备品种。</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2.乙方应当依照储藏标准和法定要件储备冷藏猪肉，甲方负责定期督查。</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3.猪肉储备入库由乙方依法取得国家法定检疫机构按批次出具的动物产品检疫合格证明和猪肉检验合格证明，在库品质检验检测由甲方委托具有法定检测资质的第三方机构进行。检测报告由第三方检验检测机构直接报送甲方备案。</w:t>
      </w:r>
      <w:r>
        <w:rPr>
          <w:rFonts w:ascii="宋体" w:hAnsi="宋体" w:cs="宋体"/>
          <w:sz w:val="24"/>
        </w:rPr>
      </w:r>
      <w:r/>
    </w:p>
    <w:p>
      <w:pPr>
        <w:pStyle w:val="1070"/>
        <w:ind w:firstLine="480"/>
        <w:jc w:val="left"/>
        <w:spacing w:line="360" w:lineRule="auto"/>
        <w:widowControl/>
        <w:rPr>
          <w:rFonts w:ascii="宋体" w:hAnsi="宋体" w:cs="宋体"/>
          <w:sz w:val="24"/>
        </w:rPr>
      </w:pPr>
      <w:r>
        <w:rPr>
          <w:rFonts w:hint="eastAsia" w:ascii="宋体" w:hAnsi="宋体" w:cs="宋体"/>
          <w:sz w:val="24"/>
        </w:rPr>
        <w:t xml:space="preserve">4.乙方承担储备猪肉的在库管理，负责储备肉、冷库安全和食品安全责任。</w:t>
      </w:r>
      <w:r>
        <w:rPr>
          <w:rFonts w:ascii="宋体" w:hAnsi="宋体" w:cs="宋体"/>
          <w:sz w:val="24"/>
        </w:rPr>
      </w:r>
      <w:r/>
    </w:p>
    <w:p>
      <w:pPr>
        <w:pStyle w:val="1070"/>
        <w:ind w:firstLine="480"/>
        <w:spacing w:line="360" w:lineRule="auto"/>
        <w:rPr>
          <w:rFonts w:hint="eastAsia" w:ascii="宋体" w:hAnsi="宋体" w:cs="宋体"/>
          <w:b/>
          <w:sz w:val="24"/>
        </w:rPr>
      </w:pPr>
      <w:r>
        <w:rPr>
          <w:rFonts w:hint="eastAsia" w:ascii="宋体" w:hAnsi="宋体" w:cs="宋体"/>
          <w:sz w:val="24"/>
        </w:rPr>
        <w:t xml:space="preserve">5.验收标准根据有关规定及采购文件要求，验收通过为准。</w:t>
      </w:r>
      <w:r>
        <w:rPr>
          <w:rFonts w:hint="eastAsia" w:ascii="宋体" w:hAnsi="宋体" w:cs="宋体"/>
          <w:b/>
          <w:sz w:val="24"/>
        </w:rPr>
      </w:r>
      <w:r/>
    </w:p>
    <w:p>
      <w:pPr>
        <w:pStyle w:val="1070"/>
        <w:ind w:firstLine="482"/>
        <w:jc w:val="left"/>
        <w:spacing w:line="360" w:lineRule="auto"/>
        <w:widowControl/>
        <w:rPr>
          <w:rFonts w:hint="eastAsia" w:ascii="宋体" w:hAnsi="宋体" w:cs="宋体"/>
          <w:sz w:val="24"/>
        </w:rPr>
      </w:pPr>
      <w:r>
        <w:rPr>
          <w:rFonts w:hint="eastAsia" w:ascii="宋体" w:hAnsi="宋体" w:cs="宋体"/>
          <w:b/>
          <w:sz w:val="24"/>
        </w:rPr>
        <w:t xml:space="preserve">第</w:t>
      </w:r>
      <w:r>
        <w:rPr>
          <w:rFonts w:hint="eastAsia" w:ascii="宋体" w:hAnsi="宋体" w:cs="宋体"/>
          <w:b/>
          <w:sz w:val="24"/>
          <w:lang w:val="en-US" w:eastAsia="zh-CN"/>
        </w:rPr>
        <w:t xml:space="preserve">十</w:t>
      </w:r>
      <w:r>
        <w:rPr>
          <w:rFonts w:hint="eastAsia" w:ascii="宋体" w:hAnsi="宋体" w:cs="宋体"/>
          <w:b/>
          <w:sz w:val="24"/>
        </w:rPr>
        <w:t xml:space="preserve">条 </w:t>
      </w:r>
      <w:r>
        <w:rPr>
          <w:rFonts w:hint="eastAsia" w:ascii="宋体" w:hAnsi="宋体" w:eastAsia="宋体" w:cs="宋体"/>
          <w:b/>
          <w:bCs/>
          <w:sz w:val="24"/>
        </w:rPr>
        <w:t xml:space="preserve">违约处罚与管束条款</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为强化</w:t>
      </w:r>
      <w:r>
        <w:rPr>
          <w:rFonts w:hint="eastAsia" w:ascii="宋体" w:hAnsi="宋体" w:cs="宋体"/>
          <w:sz w:val="24"/>
          <w:lang w:val="en-US" w:eastAsia="zh-CN"/>
        </w:rPr>
        <w:t xml:space="preserve">乙方</w:t>
      </w:r>
      <w:r>
        <w:rPr>
          <w:rFonts w:hint="eastAsia" w:ascii="宋体" w:hAnsi="宋体" w:cs="宋体"/>
          <w:sz w:val="24"/>
        </w:rPr>
        <w:t xml:space="preserve">履约管理，针对“服务不到位、存储量不达标、未满足采购人要求”等违约行为，明确以下处罚与管束措施，处罚标准与违约情节挂钩，且不免除</w:t>
      </w:r>
      <w:r>
        <w:rPr>
          <w:rFonts w:hint="eastAsia" w:ascii="宋体" w:hAnsi="宋体" w:cs="宋体"/>
          <w:sz w:val="24"/>
          <w:lang w:val="en-US" w:eastAsia="zh-CN"/>
        </w:rPr>
        <w:t xml:space="preserve">乙方</w:t>
      </w:r>
      <w:r>
        <w:rPr>
          <w:rFonts w:hint="eastAsia" w:ascii="宋体" w:hAnsi="宋体" w:cs="宋体"/>
          <w:sz w:val="24"/>
        </w:rPr>
        <w:t xml:space="preserve">继续履行合同的义务：</w:t>
      </w:r>
      <w:r>
        <w:rPr>
          <w:rFonts w:hint="eastAsia" w:ascii="宋体" w:hAnsi="宋体" w:cs="宋体"/>
          <w:sz w:val="24"/>
        </w:rPr>
      </w:r>
      <w:r/>
    </w:p>
    <w:p>
      <w:pPr>
        <w:pStyle w:val="1070"/>
        <w:ind w:firstLine="482"/>
        <w:jc w:val="left"/>
        <w:spacing w:line="360" w:lineRule="auto"/>
        <w:widowControl/>
        <w:rPr>
          <w:rFonts w:hint="eastAsia" w:ascii="宋体" w:hAnsi="宋体" w:cs="宋体"/>
          <w:color w:val="0000ff"/>
          <w:sz w:val="24"/>
        </w:rPr>
      </w:pPr>
      <w:r>
        <w:rPr>
          <w:rFonts w:hint="eastAsia" w:ascii="宋体" w:hAnsi="宋体" w:eastAsia="宋体" w:cs="宋体"/>
          <w:b/>
          <w:bCs/>
          <w:sz w:val="24"/>
        </w:rPr>
        <w:t xml:space="preserve">（一）履约监督机制</w:t>
      </w:r>
      <w:r>
        <w:rPr>
          <w:rFonts w:hint="eastAsia" w:ascii="宋体" w:hAnsi="宋体" w:cs="宋体"/>
          <w:color w:val="0000ff"/>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甲方</w:t>
      </w:r>
      <w:r>
        <w:rPr>
          <w:rFonts w:hint="eastAsia" w:ascii="宋体" w:hAnsi="宋体" w:cs="宋体"/>
          <w:sz w:val="24"/>
        </w:rPr>
        <w:t xml:space="preserve">建立“月度抽查+季度考核+年度评估”的履约监督体系，每月至少1次抽查储备量、台账完整性，每季度结合检测报告、应急响应能力开展综合考核，年度评估结果作为合同续签的核心依据。</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乙方</w:t>
      </w:r>
      <w:r>
        <w:rPr>
          <w:rFonts w:hint="eastAsia" w:ascii="宋体" w:hAnsi="宋体" w:cs="宋体"/>
          <w:sz w:val="24"/>
        </w:rPr>
        <w:t xml:space="preserve">须配合</w:t>
      </w:r>
      <w:r>
        <w:rPr>
          <w:rFonts w:hint="eastAsia" w:ascii="宋体" w:hAnsi="宋体" w:cs="宋体"/>
          <w:sz w:val="24"/>
          <w:lang w:val="en-US" w:eastAsia="zh-CN"/>
        </w:rPr>
        <w:t xml:space="preserve">甲方</w:t>
      </w:r>
      <w:r>
        <w:rPr>
          <w:rFonts w:hint="eastAsia" w:ascii="宋体" w:hAnsi="宋体" w:cs="宋体"/>
          <w:sz w:val="24"/>
        </w:rPr>
        <w:t xml:space="preserve">的监督检查，不得拒绝、拖延提供储备数据、台账或现场核查条件；若无故拒绝检查，视为“一般违约”。</w:t>
      </w:r>
      <w:r>
        <w:rPr>
          <w:rFonts w:hint="eastAsia" w:ascii="宋体" w:hAnsi="宋体" w:cs="宋体"/>
          <w:sz w:val="24"/>
        </w:rPr>
      </w:r>
      <w:r/>
    </w:p>
    <w:p>
      <w:pPr>
        <w:pStyle w:val="1070"/>
        <w:ind w:firstLine="482"/>
        <w:jc w:val="left"/>
        <w:spacing w:line="360" w:lineRule="auto"/>
        <w:widowControl/>
        <w:rPr>
          <w:rFonts w:hint="eastAsia" w:ascii="宋体" w:hAnsi="宋体" w:cs="宋体"/>
          <w:color w:val="0000ff"/>
          <w:sz w:val="24"/>
        </w:rPr>
      </w:pPr>
      <w:r>
        <w:rPr>
          <w:rFonts w:hint="eastAsia" w:ascii="宋体" w:hAnsi="宋体" w:eastAsia="宋体" w:cs="宋体"/>
          <w:b/>
          <w:bCs/>
          <w:sz w:val="24"/>
        </w:rPr>
        <w:t xml:space="preserve">（二）违约行为认定与处罚标准</w:t>
      </w:r>
      <w:r>
        <w:rPr>
          <w:rFonts w:hint="eastAsia" w:ascii="宋体" w:hAnsi="宋体" w:cs="宋体"/>
          <w:color w:val="0000ff"/>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1.轻微违约（单次发生，影响较小）</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认定情形：</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日常储备量1次低于90%但高于80%，且在24小时内补足；</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台账记录不完整（如漏记1-2笔出入库记录），但无虚假数据；</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未按时（逾期≤3个工作日）提交轮换计划或检测报告备案材料。</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处罚措施：</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甲方</w:t>
      </w:r>
      <w:r>
        <w:rPr>
          <w:rFonts w:hint="eastAsia" w:ascii="宋体" w:hAnsi="宋体" w:cs="宋体"/>
          <w:sz w:val="24"/>
        </w:rPr>
        <w:t xml:space="preserve">出具《口头警告通知书》，责令</w:t>
      </w:r>
      <w:r>
        <w:rPr>
          <w:rFonts w:hint="eastAsia" w:ascii="宋体" w:hAnsi="宋体" w:cs="宋体"/>
          <w:sz w:val="24"/>
          <w:lang w:val="en-US" w:eastAsia="zh-CN"/>
        </w:rPr>
        <w:t xml:space="preserve">甲方</w:t>
      </w:r>
      <w:r>
        <w:rPr>
          <w:rFonts w:hint="eastAsia" w:ascii="宋体" w:hAnsi="宋体" w:cs="宋体"/>
          <w:sz w:val="24"/>
        </w:rPr>
        <w:t xml:space="preserve">核查通过后方可恢复正常履约；</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单次轻微违约不扣减服务费用，但计入季度考核记录，季度内累计2次轻微违约升级为一般违约。</w:t>
      </w:r>
      <w:r>
        <w:rPr>
          <w:rFonts w:hint="eastAsia" w:ascii="宋体" w:hAnsi="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2.一般违约（单次影响较大或累计违约）</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认定情形：</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eastAsia="宋体" w:cs="宋体"/>
          <w:sz w:val="24"/>
        </w:rPr>
        <w:t xml:space="preserve">日常储备量1次低于</w:t>
      </w:r>
      <w:r>
        <w:rPr>
          <w:rFonts w:hint="eastAsia" w:ascii="宋体" w:hAnsi="宋体" w:cs="宋体"/>
          <w:sz w:val="24"/>
        </w:rPr>
        <w:t xml:space="preserve">80%，或逾期＞24小时补足；</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全年任意1个月末库存低于承储数量的100%；</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台账存在虚假记录（如虚增储备量、伪造检疫证明编号）；</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甲方</w:t>
      </w:r>
      <w:r>
        <w:rPr>
          <w:rFonts w:hint="eastAsia" w:ascii="宋体" w:hAnsi="宋体" w:cs="宋体"/>
          <w:sz w:val="24"/>
        </w:rPr>
        <w:t xml:space="preserve">动用储备肉时，未在5日内调集缺额部分（无不可抗力因素）；</w:t>
      </w:r>
      <w:r>
        <w:rPr>
          <w:rFonts w:hint="eastAsia" w:ascii="宋体" w:hAnsi="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cs="宋体"/>
          <w:sz w:val="24"/>
        </w:rPr>
        <w:t xml:space="preserve">在库检测发现1批次猪肉质量不达标（如感官异常、理化指标超标），且未在3</w:t>
      </w:r>
      <w:r>
        <w:rPr>
          <w:rFonts w:hint="eastAsia" w:ascii="宋体" w:hAnsi="宋体" w:eastAsia="宋体" w:cs="宋体"/>
          <w:sz w:val="24"/>
        </w:rPr>
        <w:t xml:space="preserve">日内更换合格猪肉。</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处罚措施：</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甲方</w:t>
      </w:r>
      <w:r>
        <w:rPr>
          <w:rFonts w:hint="eastAsia" w:ascii="宋体" w:hAnsi="宋体" w:eastAsia="宋体" w:cs="宋体"/>
          <w:sz w:val="24"/>
        </w:rPr>
        <w:t xml:space="preserve">出具《书面通报批评函》，在常州市公共资源交易平台公示违约情况；</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扣减当期服务费用的5%-10%（按违约天数/程度计算：每逾期1日扣减1%，单次最高扣10%）；</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暂停履约资格7日，期间须完成全面整改，整改未通过不得恢复履约；</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一般违约记录纳入企业信用档案，年度内累计2次一般违约，取消下一年度合同续签资格。</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3.严重违约（单次严重影响或拒不整改）</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认定情形：</w:t>
      </w:r>
      <w:r>
        <w:rPr>
          <w:rFonts w:hint="eastAsia" w:ascii="宋体" w:hAnsi="宋体" w:eastAsia="宋体" w:cs="宋体"/>
          <w:sz w:val="24"/>
        </w:rPr>
      </w:r>
      <w:r/>
    </w:p>
    <w:p>
      <w:pPr>
        <w:pStyle w:val="10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日常储备量连续3日低于80%，或累计缺额超过承储数量的20%；</w:t>
      </w:r>
      <w:r>
        <w:rPr>
          <w:rFonts w:hint="eastAsia" w:ascii="宋体" w:hAnsi="宋体" w:eastAsia="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eastAsia="宋体" w:cs="宋体"/>
          <w:sz w:val="24"/>
        </w:rPr>
        <w:t xml:space="preserve">入库猪肉无合法检疫证明，或在库检测发现2</w:t>
      </w:r>
      <w:r>
        <w:rPr>
          <w:rFonts w:hint="eastAsia" w:ascii="宋体" w:hAnsi="宋体" w:cs="宋体"/>
          <w:sz w:val="24"/>
        </w:rPr>
        <w:t xml:space="preserve">批次及以上猪肉质量不达标且拒不更换；</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甲方</w:t>
      </w:r>
      <w:r>
        <w:rPr>
          <w:rFonts w:hint="eastAsia" w:ascii="宋体" w:hAnsi="宋体" w:cs="宋体"/>
          <w:sz w:val="24"/>
        </w:rPr>
        <w:t xml:space="preserve">动用储备肉时，无正当理由拒绝移交或提供不合格储备肉，导致市场供应受影响；</w:t>
      </w:r>
      <w:r>
        <w:rPr>
          <w:rFonts w:hint="eastAsia" w:ascii="宋体" w:hAnsi="宋体" w:cs="宋体"/>
          <w:sz w:val="24"/>
        </w:rPr>
      </w:r>
      <w:r/>
    </w:p>
    <w:p>
      <w:pPr>
        <w:pStyle w:val="1070"/>
        <w:ind w:firstLine="480"/>
        <w:jc w:val="left"/>
        <w:spacing w:line="360" w:lineRule="auto"/>
        <w:widowControl/>
        <w:rPr>
          <w:rFonts w:hint="eastAsia" w:ascii="宋体" w:hAnsi="宋体" w:cs="宋体"/>
          <w:sz w:val="24"/>
        </w:rPr>
      </w:pPr>
      <w:r>
        <w:rPr>
          <w:rFonts w:hint="eastAsia" w:ascii="宋体" w:hAnsi="宋体" w:cs="宋体"/>
          <w:sz w:val="24"/>
        </w:rPr>
        <w:t xml:space="preserve">拒绝、阻碍</w:t>
      </w:r>
      <w:r>
        <w:rPr>
          <w:rFonts w:hint="eastAsia" w:ascii="宋体" w:hAnsi="宋体" w:cs="宋体"/>
          <w:sz w:val="24"/>
          <w:lang w:val="en-US" w:eastAsia="zh-CN"/>
        </w:rPr>
        <w:t xml:space="preserve">甲方</w:t>
      </w:r>
      <w:r>
        <w:rPr>
          <w:rFonts w:hint="eastAsia" w:ascii="宋体" w:hAnsi="宋体" w:cs="宋体"/>
          <w:sz w:val="24"/>
        </w:rPr>
        <w:t xml:space="preserve">监督检查，或伪造、销毁履约证据；</w:t>
      </w:r>
      <w:r>
        <w:rPr>
          <w:rFonts w:hint="eastAsia" w:ascii="宋体" w:hAnsi="宋体" w:cs="宋体"/>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sz w:val="24"/>
        </w:rPr>
        <w:t xml:space="preserve">因</w:t>
      </w:r>
      <w:r>
        <w:rPr>
          <w:rFonts w:hint="eastAsia" w:ascii="宋体" w:hAnsi="宋体" w:cs="宋体"/>
          <w:color w:val="000000"/>
          <w:sz w:val="24"/>
          <w:lang w:val="en-US" w:eastAsia="zh-CN"/>
        </w:rPr>
        <w:t xml:space="preserve">乙方</w:t>
      </w:r>
      <w:r>
        <w:rPr>
          <w:rFonts w:hint="eastAsia" w:ascii="宋体" w:hAnsi="宋体" w:cs="宋体"/>
          <w:color w:val="000000"/>
          <w:sz w:val="24"/>
        </w:rPr>
        <w:t xml:space="preserve">管理问题导致储备肉变质、冷库坍塌等安全事故，造成重大损失或舆情风险。</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处罚措施：</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有权提前终止合同；</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乙方</w:t>
      </w:r>
      <w:r>
        <w:rPr>
          <w:rFonts w:hint="eastAsia" w:ascii="宋体" w:hAnsi="宋体" w:cs="宋体"/>
          <w:color w:val="000000"/>
          <w:sz w:val="24"/>
        </w:rPr>
        <w:t xml:space="preserve">须赔偿招标人因此产生的损失，包括重新采购的差价、应急调运费、检测费等；</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违约行为报送常州市发展和改革委员会、公共资源交易中心，记入企业信用黑名单，1-3年内禁止参与常州市市级物资储备类项目投标；</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若违约行为违反《粮食流通管理条例》《食品安全法》等法律法规，由</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移交市场监管、粮食和储备等部门依法查处，追究法律责任。</w:t>
      </w:r>
      <w:r>
        <w:rPr>
          <w:rFonts w:hint="eastAsia" w:ascii="宋体" w:hAnsi="宋体" w:cs="宋体"/>
          <w:color w:val="000000"/>
          <w:sz w:val="24"/>
        </w:rPr>
      </w:r>
      <w:r/>
    </w:p>
    <w:p>
      <w:pPr>
        <w:pStyle w:val="1070"/>
        <w:ind w:firstLine="482"/>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（三）违约整改与申诉</w:t>
      </w:r>
      <w:r>
        <w:rPr>
          <w:rFonts w:hint="eastAsia" w:ascii="宋体" w:hAnsi="宋体" w:cs="宋体"/>
          <w:color w:val="000000"/>
          <w:sz w:val="24"/>
        </w:rPr>
      </w:r>
      <w:r/>
    </w:p>
    <w:p>
      <w:pPr>
        <w:pStyle w:val="1070"/>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乙方</w:t>
      </w:r>
      <w:r>
        <w:rPr>
          <w:rFonts w:hint="eastAsia" w:ascii="宋体" w:hAnsi="宋体" w:cs="宋体"/>
          <w:color w:val="000000"/>
          <w:sz w:val="24"/>
        </w:rPr>
        <w:t xml:space="preserve">收到违约通知后，须在规定时限内提交整改计划（轻微违约3日内，一般/严重违约5日内），整改完成后申请复查，复查合格方可解除违约状态；逾期未整改或复查不合格的，按“违约升级”处理。</w:t>
      </w:r>
      <w:r>
        <w:rPr>
          <w:rFonts w:hint="eastAsia" w:ascii="宋体" w:hAnsi="宋体" w:cs="宋体"/>
          <w:color w:val="000000"/>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乙方</w:t>
      </w:r>
      <w:r>
        <w:rPr>
          <w:rFonts w:hint="eastAsia" w:ascii="宋体" w:hAnsi="宋体" w:cs="宋体"/>
          <w:sz w:val="24"/>
        </w:rPr>
        <w:t xml:space="preserve">对违约认定或处罚结果有异议的，可在收到通知后5个工作日内向</w:t>
      </w:r>
      <w:r>
        <w:rPr>
          <w:rFonts w:hint="eastAsia" w:ascii="宋体" w:hAnsi="宋体" w:cs="宋体"/>
          <w:sz w:val="24"/>
          <w:lang w:val="en-US" w:eastAsia="zh-CN"/>
        </w:rPr>
        <w:t xml:space="preserve">甲方</w:t>
      </w:r>
      <w:r>
        <w:rPr>
          <w:rFonts w:hint="eastAsia" w:ascii="宋体" w:hAnsi="宋体" w:cs="宋体"/>
          <w:sz w:val="24"/>
        </w:rPr>
        <w:t xml:space="preserve">提交书面申诉材料（附佐证证据），</w:t>
      </w:r>
      <w:r>
        <w:rPr>
          <w:rFonts w:hint="eastAsia" w:ascii="宋体" w:hAnsi="宋体" w:cs="宋体"/>
          <w:sz w:val="24"/>
          <w:lang w:val="en-US" w:eastAsia="zh-CN"/>
        </w:rPr>
        <w:t xml:space="preserve">甲方</w:t>
      </w:r>
      <w:r>
        <w:rPr>
          <w:rFonts w:hint="eastAsia" w:ascii="宋体" w:hAnsi="宋体" w:cs="宋体"/>
          <w:sz w:val="24"/>
        </w:rPr>
        <w:t xml:space="preserve">须在10个工作日内完成复核并出具复核意见，复核期间不停止处罚执行。</w:t>
      </w:r>
      <w:r>
        <w:rPr>
          <w:rFonts w:hint="eastAsia" w:ascii="宋体" w:hAnsi="宋体" w:cs="宋体"/>
          <w:sz w:val="24"/>
        </w:rPr>
      </w:r>
      <w:r/>
    </w:p>
    <w:p>
      <w:pPr>
        <w:pStyle w:val="1070"/>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乙方提供虚假材料或隐瞒真实情况时，甲方有权单方解除合同，乙方无条件返还甲方已支付的全部财政补贴资金，由此造成损害的，由乙方承担赔偿责任。</w:t>
      </w:r>
      <w:r>
        <w:rPr>
          <w:rFonts w:hint="eastAsia" w:ascii="宋体" w:hAnsi="宋体" w:eastAsia="宋体" w:cs="宋体"/>
          <w:sz w:val="24"/>
        </w:rPr>
      </w:r>
      <w:r/>
    </w:p>
    <w:p>
      <w:pPr>
        <w:pStyle w:val="1070"/>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因乙方管理不当，造成安全责任事故的，甲方有权单方终止合同，乙方无条件返还甲方已支付的全部财政补贴资金，由此造成损害的，由乙方承担赔偿责任。</w:t>
      </w:r>
      <w:r>
        <w:rPr>
          <w:rFonts w:hint="eastAsia" w:ascii="宋体" w:hAnsi="宋体" w:eastAsia="宋体" w:cs="宋体"/>
          <w:sz w:val="24"/>
        </w:rPr>
      </w:r>
      <w:r/>
    </w:p>
    <w:p>
      <w:pPr>
        <w:pStyle w:val="1070"/>
        <w:ind w:firstLine="480"/>
        <w:spacing w:line="360" w:lineRule="auto"/>
      </w:pPr>
      <w:r>
        <w:rPr>
          <w:rFonts w:hint="eastAsia" w:ascii="宋体" w:hAnsi="宋体" w:eastAsia="宋体" w:cs="宋体"/>
          <w:sz w:val="24"/>
          <w:lang w:val="en-US" w:eastAsia="zh-CN"/>
        </w:rPr>
        <w:t xml:space="preserve">5.</w:t>
      </w:r>
      <w:r>
        <w:rPr>
          <w:rFonts w:hint="eastAsia" w:ascii="宋体" w:hAnsi="宋体" w:eastAsia="宋体" w:cs="宋体"/>
          <w:sz w:val="24"/>
        </w:rPr>
        <w:t xml:space="preserve">由于乙方违约所造成的甲方任何损失，包括但不限于应急购买猪肉的费用，运输、保存猪肉的费用</w:t>
      </w:r>
      <w:r>
        <w:rPr>
          <w:rFonts w:hint="eastAsia" w:ascii="宋体" w:hAnsi="宋体" w:eastAsia="宋体" w:cs="宋体"/>
          <w:sz w:val="24"/>
          <w:lang w:eastAsia="zh-CN"/>
        </w:rPr>
        <w:t xml:space="preserve">，仲裁费、律师费</w:t>
      </w:r>
      <w:r>
        <w:rPr>
          <w:rFonts w:hint="eastAsia" w:ascii="宋体" w:hAnsi="宋体" w:eastAsia="宋体" w:cs="宋体"/>
          <w:sz w:val="24"/>
        </w:rPr>
        <w:t xml:space="preserve">等，均由乙方全部承担。</w:t>
      </w:r>
      <w:r/>
    </w:p>
    <w:p>
      <w:pPr>
        <w:pStyle w:val="1070"/>
        <w:ind w:firstLine="482"/>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十一</w:t>
      </w:r>
      <w:r>
        <w:rPr>
          <w:rFonts w:hint="eastAsia" w:ascii="宋体" w:hAnsi="宋体" w:cs="宋体"/>
          <w:b/>
          <w:sz w:val="24"/>
        </w:rPr>
        <w:t xml:space="preserve">条 合同的变更和终止</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十</w:t>
      </w:r>
      <w:r>
        <w:rPr>
          <w:rFonts w:hint="eastAsia" w:ascii="宋体" w:hAnsi="宋体" w:cs="宋体"/>
          <w:b/>
          <w:sz w:val="24"/>
          <w:lang w:val="en-US" w:eastAsia="zh-CN"/>
        </w:rPr>
        <w:t xml:space="preserve">二</w:t>
      </w:r>
      <w:r>
        <w:rPr>
          <w:rFonts w:hint="eastAsia" w:ascii="宋体" w:hAnsi="宋体" w:cs="宋体"/>
          <w:b/>
          <w:sz w:val="24"/>
        </w:rPr>
        <w:t xml:space="preserve">条 合同的转让</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lang w:val="en-US" w:eastAsia="zh-CN"/>
        </w:rPr>
        <w:t xml:space="preserve">十三</w:t>
      </w:r>
      <w:r>
        <w:rPr>
          <w:rFonts w:hint="eastAsia" w:ascii="宋体" w:hAnsi="宋体" w:cs="宋体"/>
          <w:b/>
          <w:sz w:val="24"/>
        </w:rPr>
        <w:t xml:space="preserve">条 不可抗力</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w:t>
      </w:r>
      <w:r>
        <w:rPr>
          <w:rFonts w:hint="eastAsia" w:ascii="宋体" w:hAnsi="宋体" w:cs="宋体"/>
          <w:b/>
          <w:sz w:val="24"/>
          <w:lang w:val="en-US" w:eastAsia="zh-CN"/>
        </w:rPr>
        <w:t xml:space="preserve">四</w:t>
      </w:r>
      <w:r>
        <w:rPr>
          <w:rFonts w:hint="eastAsia" w:ascii="宋体" w:hAnsi="宋体" w:cs="宋体"/>
          <w:b/>
          <w:sz w:val="24"/>
        </w:rPr>
        <w:t xml:space="preserve">条 争议的解决</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w:t>
      </w:r>
      <w:r>
        <w:rPr>
          <w:rFonts w:hint="eastAsia" w:ascii="宋体" w:hAnsi="宋体" w:cs="宋体"/>
          <w:b/>
          <w:sz w:val="24"/>
          <w:lang w:val="en-US" w:eastAsia="zh-CN"/>
        </w:rPr>
        <w:t xml:space="preserve">五</w:t>
      </w:r>
      <w:r>
        <w:rPr>
          <w:rFonts w:hint="eastAsia" w:ascii="宋体" w:hAnsi="宋体" w:cs="宋体"/>
          <w:b/>
          <w:sz w:val="24"/>
        </w:rPr>
        <w:t xml:space="preserve">条 诚实信用 </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w:t>
      </w:r>
      <w:r>
        <w:rPr>
          <w:rFonts w:hint="eastAsia" w:ascii="宋体" w:hAnsi="宋体" w:cs="宋体"/>
          <w:b/>
          <w:sz w:val="24"/>
          <w:lang w:val="en-US" w:eastAsia="zh-CN"/>
        </w:rPr>
        <w:t xml:space="preserve">六</w:t>
      </w:r>
      <w:r>
        <w:rPr>
          <w:rFonts w:hint="eastAsia" w:ascii="宋体" w:hAnsi="宋体" w:cs="宋体"/>
          <w:b/>
          <w:sz w:val="24"/>
        </w:rPr>
        <w:t xml:space="preserve">条 合同生效及其他</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0"/>
        <w:ind w:firstLine="480"/>
        <w:spacing w:line="360" w:lineRule="auto"/>
        <w:rPr>
          <w:rFonts w:ascii="宋体" w:hAnsi="宋体" w:cs="宋体"/>
          <w:color w:val="000000"/>
          <w:sz w:val="24"/>
        </w:rPr>
      </w:pPr>
      <w:r>
        <w:rPr>
          <w:rFonts w:hint="eastAsia" w:ascii="宋体" w:hAnsi="宋体" w:cs="宋体"/>
          <w:sz w:val="24"/>
        </w:rPr>
        <w:t xml:space="preserve">3.本合同应按照中华人民共和国的现行法律进行解释。</w:t>
      </w:r>
      <w:r>
        <w:rPr>
          <w:rFonts w:ascii="宋体" w:hAnsi="宋体" w:cs="宋体"/>
          <w:color w:val="000000"/>
          <w:sz w:val="24"/>
        </w:rPr>
      </w:r>
      <w:r/>
    </w:p>
    <w:p>
      <w:pPr>
        <w:pStyle w:val="1070"/>
        <w:jc w:val="left"/>
        <w:spacing w:line="360" w:lineRule="auto"/>
        <w:rPr>
          <w:rFonts w:ascii="宋体" w:hAnsi="宋体" w:cs="宋体"/>
          <w:b/>
          <w:bCs/>
          <w:color w:val="000000"/>
          <w:sz w:val="24"/>
        </w:rPr>
      </w:pPr>
      <w:r>
        <w:rPr>
          <w:rFonts w:ascii="宋体" w:hAnsi="宋体" w:cs="宋体"/>
          <w:b/>
          <w:bCs/>
          <w:color w:val="000000"/>
          <w:sz w:val="24"/>
        </w:rPr>
      </w:r>
      <w:r/>
    </w:p>
    <w:p>
      <w:pPr>
        <w:pStyle w:val="1070"/>
        <w:jc w:val="left"/>
        <w:spacing w:line="360" w:lineRule="auto"/>
        <w:rPr>
          <w:rFonts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rPr>
          <w:rFonts w:ascii="宋体" w:hAnsi="宋体" w:cs="宋体"/>
          <w:color w:val="000000"/>
          <w:sz w:val="24"/>
        </w:rPr>
      </w:r>
      <w:r/>
    </w:p>
    <w:p>
      <w:pPr>
        <w:pStyle w:val="1070"/>
        <w:spacing w:line="360" w:lineRule="auto"/>
        <w:rPr>
          <w:rFonts w:ascii="宋体" w:hAnsi="宋体" w:cs="宋体"/>
          <w:color w:val="000000"/>
          <w:sz w:val="24"/>
          <w:u w:val="single"/>
        </w:rPr>
      </w:pPr>
      <w:r>
        <w:rPr>
          <w:rFonts w:hint="eastAsia" w:ascii="宋体" w:hAnsi="宋体" w:cs="宋体"/>
          <w:color w:val="000000"/>
          <w:sz w:val="24"/>
        </w:rPr>
        <w:t xml:space="preserve">单位名称（章）：                          单位名称（章）：</w:t>
      </w:r>
      <w:r>
        <w:rPr>
          <w:rFonts w:ascii="宋体" w:hAnsi="宋体" w:cs="宋体"/>
          <w:color w:val="000000"/>
          <w:sz w:val="24"/>
          <w:u w:val="single"/>
        </w:rPr>
      </w:r>
      <w:r/>
    </w:p>
    <w:p>
      <w:pPr>
        <w:pStyle w:val="1070"/>
        <w:spacing w:line="360" w:lineRule="auto"/>
        <w:rPr>
          <w:rFonts w:ascii="宋体" w:hAnsi="宋体" w:cs="宋体"/>
          <w:color w:val="000000"/>
          <w:sz w:val="24"/>
          <w:u w:val="single"/>
        </w:rPr>
      </w:pPr>
      <w:r>
        <w:rPr>
          <w:rFonts w:hint="eastAsia" w:ascii="宋体" w:hAnsi="宋体" w:cs="宋体"/>
          <w:color w:val="000000"/>
          <w:sz w:val="24"/>
        </w:rPr>
        <w:t xml:space="preserve">单位地址：                               单位地址：</w:t>
      </w:r>
      <w:r>
        <w:rPr>
          <w:rFonts w:ascii="宋体" w:hAnsi="宋体" w:cs="宋体"/>
          <w:color w:val="000000"/>
          <w:sz w:val="24"/>
          <w:u w:val="single"/>
        </w:rPr>
      </w:r>
      <w:r/>
    </w:p>
    <w:p>
      <w:pPr>
        <w:pStyle w:val="1070"/>
        <w:spacing w:line="360" w:lineRule="auto"/>
        <w:rPr>
          <w:rFonts w:ascii="宋体" w:hAnsi="宋体" w:cs="宋体"/>
          <w:color w:val="000000"/>
          <w:sz w:val="24"/>
        </w:rPr>
      </w:pPr>
      <w:r>
        <w:rPr>
          <w:rFonts w:hint="eastAsia" w:ascii="宋体" w:hAnsi="宋体" w:cs="宋体"/>
          <w:color w:val="000000"/>
          <w:sz w:val="24"/>
        </w:rPr>
        <w:t xml:space="preserve">法定代表人：       委托代理人：          法定代表人：     委托代理人：                            </w:t>
      </w:r>
      <w:r>
        <w:rPr>
          <w:rFonts w:ascii="宋体" w:hAnsi="宋体" w:cs="宋体"/>
          <w:color w:val="000000"/>
          <w:sz w:val="24"/>
        </w:rPr>
      </w:r>
      <w:r/>
    </w:p>
    <w:p>
      <w:pPr>
        <w:pStyle w:val="1070"/>
        <w:spacing w:line="360" w:lineRule="auto"/>
        <w:rPr>
          <w:rFonts w:ascii="宋体" w:hAnsi="宋体" w:cs="宋体"/>
          <w:color w:val="000000"/>
          <w:sz w:val="24"/>
        </w:rPr>
      </w:pPr>
      <w:r>
        <w:rPr>
          <w:rFonts w:hint="eastAsia" w:ascii="宋体" w:hAnsi="宋体" w:cs="宋体"/>
          <w:color w:val="000000"/>
          <w:sz w:val="24"/>
        </w:rPr>
        <w:t xml:space="preserve">电话：                                   电话：            传真：</w:t>
      </w:r>
      <w:r>
        <w:rPr>
          <w:rFonts w:ascii="宋体" w:hAnsi="宋体" w:cs="宋体"/>
          <w:color w:val="000000"/>
          <w:sz w:val="24"/>
        </w:rPr>
      </w:r>
      <w:r/>
    </w:p>
    <w:p>
      <w:pPr>
        <w:pStyle w:val="1070"/>
        <w:spacing w:line="360" w:lineRule="auto"/>
        <w:rPr>
          <w:rFonts w:ascii="宋体" w:hAnsi="宋体" w:cs="宋体"/>
          <w:color w:val="000000"/>
          <w:sz w:val="24"/>
        </w:rPr>
      </w:pPr>
      <w:r>
        <w:rPr>
          <w:rFonts w:hint="eastAsia" w:ascii="宋体" w:hAnsi="宋体" w:cs="宋体"/>
          <w:color w:val="000000"/>
          <w:sz w:val="24"/>
        </w:rPr>
        <w:t xml:space="preserve">传真：                                   开户银行：        账号：</w:t>
      </w:r>
      <w:r>
        <w:rPr>
          <w:rFonts w:ascii="宋体" w:hAnsi="宋体" w:cs="宋体"/>
          <w:color w:val="000000"/>
          <w:sz w:val="24"/>
        </w:rPr>
        <w:br w:type="page" w:clear="all"/>
      </w:r>
      <w:r>
        <w:rPr>
          <w:rFonts w:ascii="宋体" w:hAnsi="宋体" w:cs="宋体"/>
          <w:color w:val="000000"/>
          <w:sz w:val="24"/>
        </w:rPr>
      </w:r>
      <w:r/>
    </w:p>
    <w:p>
      <w:pPr>
        <w:pStyle w:val="1070"/>
        <w:jc w:val="center"/>
        <w:spacing w:line="360" w:lineRule="auto"/>
        <w:rPr>
          <w:rFonts w:ascii="宋体" w:hAnsi="宋体"/>
          <w:b/>
          <w:sz w:val="36"/>
          <w:szCs w:val="36"/>
        </w:rPr>
        <w:outlineLvl w:val="0"/>
      </w:pPr>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rPr>
          <w:rFonts w:ascii="宋体" w:hAnsi="宋体"/>
          <w:sz w:val="24"/>
        </w:rPr>
      </w:r>
      <w:r/>
    </w:p>
    <w:p>
      <w:pPr>
        <w:pStyle w:val="107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3"/>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9"/>
        <w:ind w:firstLine="480"/>
        <w:spacing w:line="460" w:lineRule="exact"/>
        <w:rPr>
          <w:rFonts w:hAnsi="宋体"/>
        </w:rPr>
      </w:pPr>
      <w:r>
        <w:rPr>
          <w:rFonts w:hAnsi="宋体"/>
        </w:rPr>
      </w:r>
      <w:r/>
    </w:p>
    <w:p>
      <w:pPr>
        <w:pStyle w:val="1089"/>
        <w:ind w:firstLine="480"/>
        <w:spacing w:line="460" w:lineRule="exact"/>
        <w:rPr>
          <w:rFonts w:hAnsi="宋体"/>
        </w:rPr>
      </w:pPr>
      <w:r>
        <w:rPr>
          <w:rFonts w:hint="eastAsia" w:hAnsi="宋体"/>
        </w:rPr>
        <w:t xml:space="preserve">致：常州市城投建设工程招标有限公司</w:t>
      </w:r>
      <w:r>
        <w:rPr>
          <w:rFonts w:hAnsi="宋体"/>
        </w:rPr>
      </w:r>
      <w:r/>
    </w:p>
    <w:p>
      <w:pPr>
        <w:pStyle w:val="1089"/>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9"/>
        <w:ind w:firstLine="480"/>
        <w:spacing w:line="460" w:lineRule="exact"/>
        <w:rPr>
          <w:rFonts w:hAnsi="宋体"/>
        </w:rPr>
      </w:pPr>
      <w:r>
        <w:rPr>
          <w:rFonts w:hAnsi="宋体"/>
        </w:rPr>
      </w:r>
      <w:r/>
    </w:p>
    <w:p>
      <w:pPr>
        <w:pStyle w:val="1089"/>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9"/>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9"/>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9"/>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9"/>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9"/>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9"/>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9"/>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9"/>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9"/>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9"/>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9"/>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9"/>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9"/>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9"/>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9"/>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9"/>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9"/>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9"/>
        <w:ind w:firstLine="480"/>
        <w:spacing w:line="460" w:lineRule="exact"/>
        <w:rPr>
          <w:rFonts w:hAnsi="宋体"/>
        </w:rPr>
      </w:pPr>
      <w:r>
        <w:rPr>
          <w:rFonts w:hAnsi="宋体"/>
        </w:rPr>
      </w:r>
      <w:r/>
    </w:p>
    <w:p>
      <w:pPr>
        <w:pStyle w:val="1089"/>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9"/>
        <w:ind w:firstLine="480"/>
        <w:spacing w:line="460" w:lineRule="exact"/>
        <w:rPr>
          <w:rFonts w:hAnsi="宋体"/>
        </w:rPr>
      </w:pPr>
      <w:r>
        <w:rPr>
          <w:rFonts w:hAnsi="宋体"/>
        </w:rPr>
      </w:r>
      <w:r/>
    </w:p>
    <w:p>
      <w:pPr>
        <w:pStyle w:val="1089"/>
        <w:ind w:firstLine="480"/>
        <w:spacing w:line="460" w:lineRule="exact"/>
        <w:rPr>
          <w:rFonts w:hAnsi="宋体"/>
        </w:rPr>
      </w:pPr>
      <w:r>
        <w:rPr>
          <w:rFonts w:hAnsi="宋体"/>
        </w:rPr>
      </w:r>
      <w:r/>
    </w:p>
    <w:p>
      <w:pPr>
        <w:pStyle w:val="1089"/>
        <w:ind w:firstLine="480"/>
        <w:spacing w:line="460" w:lineRule="exact"/>
        <w:rPr>
          <w:rFonts w:hAnsi="宋体"/>
        </w:rPr>
      </w:pPr>
      <w:r>
        <w:rPr>
          <w:rFonts w:hint="eastAsia" w:hAnsi="宋体"/>
        </w:rPr>
        <w:t xml:space="preserve">                                            投标人：（加盖公章）</w:t>
      </w:r>
      <w:r>
        <w:rPr>
          <w:rFonts w:hAnsi="宋体"/>
        </w:rPr>
      </w:r>
      <w:r/>
    </w:p>
    <w:p>
      <w:pPr>
        <w:pStyle w:val="1089"/>
        <w:ind w:firstLine="480"/>
        <w:spacing w:line="460" w:lineRule="exact"/>
        <w:rPr>
          <w:rFonts w:hAnsi="宋体"/>
        </w:rPr>
      </w:pPr>
      <w:r>
        <w:rPr>
          <w:rFonts w:hint="eastAsia" w:hAnsi="宋体"/>
        </w:rPr>
        <w:t xml:space="preserve">                                           法定代表人（或单位负责人）签字或盖章：</w:t>
      </w:r>
      <w:r>
        <w:rPr>
          <w:rFonts w:hAnsi="宋体"/>
        </w:rPr>
      </w:r>
      <w:r/>
    </w:p>
    <w:p>
      <w:pPr>
        <w:pStyle w:val="1089"/>
        <w:ind w:firstLine="4920"/>
        <w:spacing w:line="460" w:lineRule="exact"/>
        <w:rPr>
          <w:rFonts w:hint="eastAsia" w:hAnsi="宋体"/>
        </w:rPr>
      </w:pPr>
      <w:r>
        <w:rPr>
          <w:rFonts w:hint="eastAsia" w:hAnsi="宋体"/>
        </w:rPr>
        <w:t xml:space="preserve">日期：    年    月    日</w:t>
      </w:r>
      <w:r>
        <w:rPr>
          <w:rFonts w:hint="eastAsia" w:hAnsi="宋体"/>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2-1</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color w:val="000000"/>
          <w:sz w:val="24"/>
          <w:szCs w:val="20"/>
        </w:rPr>
        <w:outlineLvl w:val="2"/>
      </w:pPr>
      <w:r>
        <w:rPr>
          <w:rFonts w:ascii="宋体" w:hAnsi="宋体"/>
          <w:b/>
          <w:color w:val="000000"/>
          <w:sz w:val="24"/>
          <w:szCs w:val="20"/>
        </w:rPr>
      </w:r>
      <w:r/>
    </w:p>
    <w:p>
      <w:pPr>
        <w:pStyle w:val="1070"/>
        <w:spacing w:line="360" w:lineRule="auto"/>
        <w:rPr>
          <w:rFonts w:ascii="宋体" w:hAnsi="宋体"/>
          <w:b/>
          <w:color w:val="000000"/>
          <w:sz w:val="24"/>
          <w:szCs w:val="20"/>
        </w:rPr>
        <w:outlineLvl w:val="2"/>
      </w:pPr>
      <w:r>
        <w:rPr>
          <w:rFonts w:ascii="宋体" w:hAnsi="宋体"/>
          <w:b/>
          <w:color w:val="000000"/>
          <w:sz w:val="24"/>
          <w:szCs w:val="20"/>
        </w:rPr>
      </w:r>
      <w:r/>
    </w:p>
    <w:p>
      <w:pPr>
        <w:pStyle w:val="1070"/>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142311058"/>
      <w:r/>
      <w:bookmarkStart w:id="818" w:name="_Toc226965746"/>
      <w:r/>
      <w:bookmarkStart w:id="819" w:name="_Toc226309800"/>
      <w:r/>
      <w:bookmarkStart w:id="820" w:name="_Toc226965829"/>
      <w:r/>
      <w:bookmarkStart w:id="821" w:name="_Toc480942349"/>
      <w:r/>
      <w:bookmarkStart w:id="822" w:name="_Ref467988698"/>
      <w:r/>
      <w:bookmarkStart w:id="823" w:name="_Toc150480794"/>
      <w:r/>
      <w:bookmarkStart w:id="824" w:name="_Toc127151556"/>
      <w:r/>
      <w:bookmarkStart w:id="825" w:name="_Toc195842921"/>
      <w:r/>
      <w:bookmarkStart w:id="826" w:name="_Toc520356217"/>
      <w:r/>
      <w:bookmarkStart w:id="827" w:name="_Toc150774761"/>
      <w:r/>
      <w:bookmarkStart w:id="828" w:name="_Toc226337252"/>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0"/>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0"/>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0"/>
        <w:jc w:val="left"/>
        <w:widowControl/>
        <w:rPr>
          <w:rFonts w:hint="eastAsia" w:ascii="宋体" w:hAnsi="宋体"/>
          <w:b/>
          <w:color w:val="000000"/>
          <w:sz w:val="24"/>
        </w:rPr>
      </w:pPr>
      <w:r/>
      <w:bookmarkStart w:id="829" w:name="_Hlt520356243"/>
      <w:r/>
      <w:bookmarkEnd w:id="829"/>
      <w:r/>
      <w:bookmarkStart w:id="830" w:name="_Hlt520355938"/>
      <w:r/>
      <w:bookmarkEnd w:id="830"/>
      <w:r>
        <w:rPr>
          <w:rFonts w:ascii="宋体" w:hAnsi="宋体"/>
          <w:color w:val="000000"/>
          <w:sz w:val="24"/>
        </w:rPr>
        <w:br w:type="page" w:clear="all"/>
      </w:r>
      <w:r>
        <w:rPr>
          <w:rFonts w:hint="eastAsia" w:ascii="宋体" w:hAnsi="宋体"/>
          <w:b/>
          <w:color w:val="000000"/>
          <w:sz w:val="24"/>
        </w:rPr>
      </w:r>
      <w:r/>
    </w:p>
    <w:p>
      <w:pPr>
        <w:pStyle w:val="1070"/>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0"/>
        <w:jc w:val="center"/>
        <w:rPr>
          <w:rFonts w:hint="eastAsia" w:ascii="宋体" w:hAnsi="宋体"/>
          <w:b/>
          <w:color w:val="000000"/>
          <w:sz w:val="32"/>
          <w:szCs w:val="32"/>
        </w:rPr>
      </w:pPr>
      <w:r>
        <w:rPr>
          <w:rFonts w:hint="eastAsia" w:ascii="宋体" w:hAnsi="宋体"/>
          <w:b/>
          <w:color w:val="000000"/>
          <w:sz w:val="32"/>
          <w:szCs w:val="32"/>
        </w:rPr>
      </w:r>
      <w:r/>
    </w:p>
    <w:p>
      <w:pPr>
        <w:pStyle w:val="1323"/>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0"/>
        <w:ind w:firstLine="516"/>
        <w:spacing w:line="360" w:lineRule="auto"/>
        <w:rPr>
          <w:rFonts w:ascii="宋体" w:hAnsi="宋体" w:cs="宋体"/>
          <w:sz w:val="24"/>
        </w:rPr>
      </w:pPr>
      <w:r>
        <w:rPr>
          <w:rFonts w:hint="eastAsia" w:ascii="宋体" w:hAnsi="宋体" w:cs="宋体"/>
          <w:color w:val="000000"/>
          <w:sz w:val="24"/>
        </w:rPr>
        <w:t xml:space="preserve">本授权委托书声明：我 ___________(姓名)（身份证号码：________________）系_________________（投标人名称）的法定</w:t>
      </w:r>
      <w:r>
        <w:rPr>
          <w:rFonts w:hint="eastAsia" w:ascii="宋体" w:hAnsi="宋体" w:cs="宋体"/>
          <w:sz w:val="24"/>
        </w:rPr>
        <w:t xml:space="preserve">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4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6"/>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6"/>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31" w:name="_Hlt520355504"/>
      <w:r/>
      <w:bookmarkEnd w:id="831"/>
      <w:r/>
      <w:bookmarkStart w:id="832" w:name="_Hlt520350918"/>
      <w:r/>
      <w:bookmarkEnd w:id="832"/>
      <w:r/>
      <w:bookmarkStart w:id="833" w:name="_Hlt520343000"/>
      <w:r/>
      <w:bookmarkEnd w:id="833"/>
      <w:r/>
      <w:bookmarkStart w:id="834" w:name="_Hlt520273711"/>
      <w:r/>
      <w:bookmarkEnd w:id="834"/>
      <w:r/>
      <w:bookmarkStart w:id="835" w:name="_Hlt520274065"/>
      <w:r/>
      <w:bookmarkEnd w:id="835"/>
      <w:r/>
      <w:bookmarkStart w:id="836" w:name="_Hlt520274407"/>
      <w:r/>
      <w:bookmarkEnd w:id="836"/>
      <w:r/>
      <w:bookmarkStart w:id="837" w:name="_Hlt520274393"/>
      <w:r/>
      <w:bookmarkEnd w:id="837"/>
      <w:r/>
      <w:bookmarkStart w:id="838" w:name="_Hlt520343392"/>
      <w:r/>
      <w:bookmarkEnd w:id="838"/>
      <w:r/>
      <w:bookmarkStart w:id="839" w:name="_Hlt520274121"/>
      <w:r/>
      <w:bookmarkEnd w:id="839"/>
      <w:r/>
      <w:bookmarkStart w:id="840" w:name="_Hlt520271212"/>
      <w:r/>
      <w:bookmarkEnd w:id="840"/>
      <w:r/>
      <w:bookmarkStart w:id="841" w:name="_Toc520356218"/>
      <w:r/>
      <w:bookmarkStart w:id="842" w:name="_Toc142311059"/>
      <w:r/>
      <w:bookmarkStart w:id="843" w:name="_Toc480942350"/>
      <w:r/>
      <w:bookmarkStart w:id="844" w:name="_Toc305158899"/>
      <w:r/>
      <w:bookmarkStart w:id="845" w:name="_Ref467988705"/>
      <w:r/>
      <w:bookmarkStart w:id="846" w:name="_Toc264969247"/>
      <w:r/>
      <w:bookmarkStart w:id="847" w:name="_Toc127151557"/>
      <w:r/>
      <w:bookmarkStart w:id="848" w:name="_Toc226309801"/>
      <w:r/>
      <w:bookmarkStart w:id="849" w:name="_Toc305158825"/>
      <w:r/>
      <w:bookmarkStart w:id="850" w:name="_Toc265228395"/>
      <w:r/>
      <w:bookmarkStart w:id="851" w:name="_Toc150480795"/>
      <w:r/>
      <w:bookmarkStart w:id="852" w:name="_Toc150774762"/>
      <w:r/>
      <w:bookmarkStart w:id="853" w:name="_Toc226337253"/>
      <w:r/>
      <w:bookmarkStart w:id="854" w:name="_Toc226965747"/>
      <w:r/>
      <w:bookmarkStart w:id="855" w:name="_Toc226965830"/>
      <w:r/>
      <w:bookmarkStart w:id="856" w:name="_Toc195842922"/>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ascii="宋体" w:hAnsi="宋体"/>
          <w:b/>
          <w:color w:val="000000"/>
          <w:sz w:val="36"/>
          <w:szCs w:val="36"/>
        </w:rPr>
      </w:pPr>
      <w:r/>
      <w:bookmarkStart w:id="857" w:name="_Toc226965748"/>
      <w:r/>
      <w:bookmarkStart w:id="858" w:name="_Toc226309802"/>
      <w:r/>
      <w:bookmarkStart w:id="859" w:name="_Toc305158900"/>
      <w:r/>
      <w:bookmarkStart w:id="860" w:name="_Toc164608672"/>
      <w:r/>
      <w:bookmarkStart w:id="861" w:name="_Toc265228396"/>
      <w:r/>
      <w:bookmarkStart w:id="862" w:name="_Toc305158826"/>
      <w:r/>
      <w:bookmarkStart w:id="863" w:name="_Toc264969248"/>
      <w:r/>
      <w:bookmarkStart w:id="864" w:name="_Toc195842923"/>
      <w:r/>
      <w:bookmarkStart w:id="865" w:name="_Toc226337254"/>
      <w:r/>
      <w:bookmarkStart w:id="866" w:name="_Toc164608827"/>
      <w:r/>
      <w:bookmarkStart w:id="867" w:name="_Toc226965831"/>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070"/>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0"/>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0"/>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68" w:name="_Toc226965749"/>
      <w:r/>
      <w:bookmarkStart w:id="869" w:name="_Toc226337255"/>
      <w:r/>
      <w:bookmarkStart w:id="870" w:name="_Toc226965832"/>
      <w:r/>
      <w:bookmarkStart w:id="871" w:name="_Toc150774763"/>
      <w:r/>
      <w:bookmarkStart w:id="872" w:name="_Toc265228397"/>
      <w:r/>
      <w:bookmarkStart w:id="873" w:name="_Toc195842924"/>
      <w:r/>
      <w:bookmarkStart w:id="874" w:name="_Toc150480796"/>
      <w:r/>
      <w:bookmarkStart w:id="875" w:name="_Toc305158827"/>
      <w:r/>
      <w:bookmarkStart w:id="876" w:name="_Toc226309803"/>
      <w:r/>
      <w:bookmarkStart w:id="877" w:name="_Toc264969249"/>
      <w:r/>
      <w:bookmarkStart w:id="878" w:name="_Toc305158901"/>
      <w:r/>
      <w:bookmarkStart w:id="879" w:name="_Toc142311060"/>
      <w:r/>
      <w:bookmarkStart w:id="880" w:name="_Toc127151558"/>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ascii="宋体" w:hAnsi="宋体"/>
          <w:color w:val="000000"/>
          <w:sz w:val="36"/>
          <w:szCs w:val="36"/>
        </w:rPr>
      </w:pPr>
      <w:r>
        <w:rPr>
          <w:rFonts w:ascii="宋体" w:hAnsi="宋体"/>
          <w:color w:val="000000"/>
          <w:sz w:val="36"/>
          <w:szCs w:val="36"/>
        </w:rPr>
      </w:r>
      <w:r/>
    </w:p>
    <w:p>
      <w:pPr>
        <w:pStyle w:val="1070"/>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hint="eastAsia" w:ascii="宋体" w:hAnsi="宋体"/>
          <w:b/>
          <w:color w:val="000000"/>
          <w:sz w:val="36"/>
          <w:szCs w:val="36"/>
          <w:lang w:val="en-US" w:eastAsia="zh-CN"/>
        </w:rPr>
        <w:t xml:space="preserve">采购包</w:t>
      </w:r>
      <w:r>
        <w:rPr>
          <w:rFonts w:hint="eastAsia" w:ascii="宋体" w:hAnsi="宋体"/>
          <w:b/>
          <w:color w:val="000000"/>
          <w:sz w:val="36"/>
          <w:szCs w:val="36"/>
          <w:u w:val="single"/>
        </w:rPr>
        <w:t xml:space="preserve">   </w:t>
      </w:r>
      <w:r>
        <w:rPr>
          <w:rFonts w:hint="eastAsia" w:ascii="宋体" w:hAnsi="宋体"/>
          <w:b/>
          <w:color w:val="000000"/>
          <w:sz w:val="36"/>
          <w:szCs w:val="36"/>
        </w:rPr>
        <w:t xml:space="preserve">）</w:t>
      </w:r>
      <w:r>
        <w:rPr>
          <w:rFonts w:ascii="宋体" w:hAnsi="宋体"/>
          <w:b/>
          <w:color w:val="000000"/>
          <w:sz w:val="36"/>
          <w:szCs w:val="36"/>
        </w:rPr>
      </w:r>
      <w:r/>
    </w:p>
    <w:p>
      <w:pPr>
        <w:pStyle w:val="1070"/>
        <w:jc w:val="center"/>
        <w:spacing w:line="260" w:lineRule="exact"/>
        <w:rPr>
          <w:rFonts w:ascii="宋体" w:hAnsi="宋体"/>
          <w:color w:val="000000"/>
          <w:sz w:val="36"/>
          <w:szCs w:val="36"/>
        </w:rPr>
      </w:pPr>
      <w:r>
        <w:rPr>
          <w:rFonts w:ascii="宋体" w:hAnsi="宋体"/>
          <w:color w:val="000000"/>
          <w:sz w:val="36"/>
          <w:szCs w:val="36"/>
        </w:rPr>
      </w:r>
      <w:r/>
    </w:p>
    <w:p>
      <w:pPr>
        <w:pStyle w:val="1070"/>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bl>
    <w:p>
      <w:pPr>
        <w:pStyle w:val="1070"/>
        <w:jc w:val="left"/>
        <w:tabs>
          <w:tab w:val="left" w:pos="1800" w:leader="none"/>
          <w:tab w:val="left" w:pos="5580" w:leader="none"/>
        </w:tabs>
        <w:rPr>
          <w:rFonts w:hint="eastAsia" w:ascii="宋体" w:hAnsi="宋体"/>
          <w:color w:val="000000"/>
          <w:sz w:val="24"/>
        </w:rPr>
      </w:pPr>
      <w:r/>
      <w:bookmarkStart w:id="881" w:name="_Toc264969252"/>
      <w:r/>
      <w:bookmarkStart w:id="882" w:name="_Toc150480798"/>
      <w:r/>
      <w:bookmarkStart w:id="883" w:name="_Toc226965835"/>
      <w:r/>
      <w:bookmarkStart w:id="884" w:name="_Toc226337258"/>
      <w:r/>
      <w:bookmarkStart w:id="885" w:name="_Toc305158830"/>
      <w:r/>
      <w:bookmarkStart w:id="886" w:name="_Toc142311062"/>
      <w:r/>
      <w:bookmarkStart w:id="887" w:name="_Toc127151562"/>
      <w:r/>
      <w:bookmarkStart w:id="888" w:name="_Toc150774765"/>
      <w:r/>
      <w:bookmarkStart w:id="889" w:name="_Toc226965752"/>
      <w:r/>
      <w:bookmarkStart w:id="890" w:name="_Toc305158904"/>
      <w:r/>
      <w:bookmarkStart w:id="891" w:name="_Toc265228400"/>
      <w:r/>
      <w:bookmarkStart w:id="892" w:name="_Toc226309806"/>
      <w:r/>
      <w:bookmarkStart w:id="893" w:name="_Toc195842927"/>
      <w:r/>
      <w:bookmarkStart w:id="894" w:name="_Toc150774764"/>
      <w:r/>
      <w:bookmarkStart w:id="895" w:name="_Toc264969251"/>
      <w:r/>
      <w:bookmarkStart w:id="896" w:name="_Toc226965751"/>
      <w:r/>
      <w:bookmarkStart w:id="897" w:name="_Toc195842926"/>
      <w:r/>
      <w:bookmarkStart w:id="898" w:name="_Toc226965834"/>
      <w:r/>
      <w:bookmarkStart w:id="899" w:name="_Toc127151561"/>
      <w:r/>
      <w:bookmarkStart w:id="900" w:name="_Toc150480797"/>
      <w:r/>
      <w:bookmarkStart w:id="901" w:name="_Toc305158903"/>
      <w:r/>
      <w:bookmarkStart w:id="902" w:name="_Toc265228399"/>
      <w:r/>
      <w:bookmarkStart w:id="903" w:name="_Toc226309805"/>
      <w:r/>
      <w:bookmarkStart w:id="904" w:name="_Toc226337257"/>
      <w:r/>
      <w:bookmarkStart w:id="905" w:name="_Toc142311061"/>
      <w:r/>
      <w:bookmarkStart w:id="906" w:name="_Toc305158829"/>
      <w:r>
        <w:rPr>
          <w:rFonts w:hint="eastAsia" w:ascii="宋体" w:hAnsi="宋体"/>
          <w:color w:val="000000"/>
          <w:sz w:val="24"/>
        </w:rPr>
      </w:r>
      <w:r/>
    </w:p>
    <w:p>
      <w:pPr>
        <w:pStyle w:val="1070"/>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0"/>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rPr>
          <w:rFonts w:ascii="宋体" w:hAnsi="宋体"/>
          <w:b/>
          <w:color w:val="000000"/>
          <w:sz w:val="24"/>
          <w:szCs w:val="20"/>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0"/>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0"/>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rPr>
        <w:t xml:space="preserve">采购需求偏离表（实质性格式）</w:t>
      </w:r>
      <w:r>
        <w:rPr>
          <w:rFonts w:ascii="宋体" w:hAnsi="宋体"/>
          <w:b/>
          <w:color w:val="000000"/>
          <w:sz w:val="24"/>
          <w:szCs w:val="20"/>
        </w:rPr>
      </w:r>
      <w:r/>
    </w:p>
    <w:p>
      <w:pPr>
        <w:pStyle w:val="1070"/>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6"/>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0"/>
        <w:jc w:val="center"/>
        <w:spacing w:before="240" w:after="240" w:line="360" w:lineRule="auto"/>
        <w:rPr>
          <w:rFonts w:ascii="宋体" w:hAnsi="宋体"/>
          <w:b/>
          <w:bCs/>
          <w:color w:val="000000"/>
          <w:sz w:val="36"/>
          <w:szCs w:val="36"/>
        </w:rPr>
      </w:pPr>
      <w:r>
        <w:rPr>
          <w:rFonts w:ascii="宋体" w:hAnsi="宋体"/>
          <w:b/>
          <w:bCs/>
          <w:color w:val="000000"/>
          <w:sz w:val="36"/>
          <w:szCs w:val="36"/>
        </w:rPr>
        <w:t xml:space="preserve">中小企业声明函（服务）格式</w:t>
      </w:r>
      <w:r>
        <w:rPr>
          <w:rFonts w:ascii="宋体" w:hAnsi="宋体"/>
          <w:b/>
          <w:bCs/>
          <w:color w:val="000000"/>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rPr>
      </w:r>
      <w:r/>
    </w:p>
    <w:p>
      <w:pPr>
        <w:pStyle w:val="1070"/>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0"/>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0"/>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0"/>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0"/>
        <w:jc w:val="left"/>
        <w:rPr>
          <w:rFonts w:ascii="宋体" w:hAnsi="宋体"/>
          <w:color w:val="000000"/>
          <w:szCs w:val="21"/>
          <w:vertAlign w:val="superscript"/>
        </w:rPr>
      </w:pPr>
      <w:r>
        <w:rPr>
          <w:rFonts w:ascii="宋体" w:hAnsi="宋体"/>
          <w:color w:val="000000"/>
          <w:szCs w:val="21"/>
          <w:vertAlign w:val="superscript"/>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070"/>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0"/>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0"/>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0"/>
        <w:spacing w:line="360" w:lineRule="auto"/>
        <w:rPr>
          <w:rFonts w:ascii="宋体" w:hAnsi="宋体"/>
          <w:b/>
          <w:color w:val="000000"/>
          <w:sz w:val="24"/>
        </w:rPr>
        <w:outlineLvl w:val="2"/>
      </w:pPr>
      <w:r>
        <w:rPr>
          <w:rFonts w:hint="eastAsia" w:ascii="宋体" w:hAnsi="宋体"/>
          <w:b/>
          <w:color w:val="000000"/>
          <w:sz w:val="24"/>
        </w:rPr>
        <w:t xml:space="preserve">1</w:t>
      </w:r>
      <w:r>
        <w:rPr>
          <w:rFonts w:hint="eastAsia" w:ascii="宋体" w:hAnsi="宋体"/>
          <w:b/>
          <w:color w:val="000000"/>
          <w:sz w:val="24"/>
          <w:lang w:val="en-US" w:eastAsia="zh-CN"/>
        </w:rPr>
        <w:t xml:space="preserve">1</w:t>
      </w:r>
      <w:r>
        <w:rPr>
          <w:rFonts w:hint="eastAsia" w:ascii="宋体" w:hAnsi="宋体"/>
          <w:b/>
          <w:color w:val="000000"/>
          <w:sz w:val="24"/>
        </w:rPr>
        <w:t xml:space="preserve">  参加本项目人员一览表</w:t>
      </w:r>
      <w:r>
        <w:rPr>
          <w:rFonts w:ascii="宋体" w:hAnsi="宋体"/>
          <w:b/>
          <w:color w:val="000000"/>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color w:val="000000"/>
          <w:sz w:val="24"/>
        </w:rPr>
        <w:t xml:space="preserve">1</w:t>
      </w:r>
      <w:r>
        <w:rPr>
          <w:rFonts w:hint="eastAsia" w:ascii="宋体" w:hAnsi="宋体"/>
          <w:b/>
          <w:color w:val="000000"/>
          <w:sz w:val="24"/>
          <w:lang w:val="en-US" w:eastAsia="zh-CN"/>
        </w:rPr>
        <w:t xml:space="preserve">2</w:t>
      </w:r>
      <w:r>
        <w:rPr>
          <w:rFonts w:hint="eastAsia" w:ascii="宋体" w:hAnsi="宋体"/>
          <w:b/>
          <w:color w:val="000000"/>
          <w:sz w:val="24"/>
        </w:rPr>
        <w:t xml:space="preserve">  相关业绩案例一览表</w:t>
      </w:r>
      <w:r>
        <w:rPr>
          <w:rFonts w:ascii="宋体" w:hAnsi="宋体"/>
          <w:b/>
          <w:color w:val="000000"/>
          <w:sz w:val="24"/>
          <w:szCs w:val="20"/>
        </w:rPr>
      </w:r>
      <w:r/>
    </w:p>
    <w:p>
      <w:pPr>
        <w:pStyle w:val="1070"/>
        <w:rPr>
          <w:rFonts w:ascii="宋体" w:hAnsi="宋体"/>
          <w:color w:val="000000"/>
          <w:sz w:val="24"/>
          <w:szCs w:val="20"/>
        </w:rPr>
      </w:pPr>
      <w:r>
        <w:rPr>
          <w:rFonts w:ascii="宋体" w:hAnsi="宋体"/>
          <w:color w:val="000000"/>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rPr>
        <w:br w:type="page" w:clear="all"/>
      </w:r>
      <w:r>
        <w:rPr>
          <w:rFonts w:hint="eastAsia" w:ascii="宋体" w:hAnsi="宋体"/>
          <w:b/>
          <w:color w:val="000000"/>
          <w:sz w:val="24"/>
        </w:rPr>
        <w:t xml:space="preserve">1</w:t>
      </w:r>
      <w:r>
        <w:rPr>
          <w:rFonts w:hint="eastAsia" w:ascii="宋体" w:hAnsi="宋体"/>
          <w:b/>
          <w:color w:val="000000"/>
          <w:sz w:val="24"/>
          <w:lang w:val="en-US" w:eastAsia="zh-CN"/>
        </w:rPr>
        <w:t xml:space="preserve">3</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0"/>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right="360"/>
      <w:tabs>
        <w:tab w:val="center" w:pos="4153" w:leader="none"/>
        <w:tab w:val="right" w:pos="8306" w:leader="none"/>
      </w:tabs>
      <w:rPr>
        <w:rStyle w:val="1143"/>
      </w:rPr>
      <w:framePr w:wrap="around" w:vAnchor="text" w:hAnchor="margin" w:y="1"/>
    </w:pPr>
    <w:r>
      <w:rPr>
        <w:rStyle w:val="1143"/>
      </w:rPr>
    </w:r>
    <w:r/>
  </w:p>
  <w:p>
    <w:pPr>
      <w:pStyle w:val="1121"/>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2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rPr>
        <w:rStyle w:val="1143"/>
      </w:rPr>
      <w:framePr w:wrap="around" w:vAnchor="text" w:hAnchor="margin" w:xAlign="right" w:y="1"/>
    </w:pPr>
    <w:r>
      <w:rPr>
        <w:rStyle w:val="1143"/>
      </w:rPr>
    </w:r>
    <w:r/>
  </w:p>
  <w:p>
    <w:pPr>
      <w:pStyle w:val="1121"/>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21"/>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21"/>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4"/>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4"/>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1"/>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isLgl w:val="false"/>
      <w:suff w:val="tab"/>
      <w:lvlText w:val="%1."/>
      <w:lvlJc w:val="left"/>
      <w:pPr>
        <w:pStyle w:val="1070"/>
        <w:ind w:left="1242" w:hanging="382"/>
      </w:pPr>
      <w:rPr>
        <w:rFonts w:ascii="仿宋" w:hAnsi="仿宋" w:eastAsia="仿宋" w:cs="仿宋"/>
        <w:spacing w:val="0"/>
        <w:sz w:val="32"/>
        <w:szCs w:val="32"/>
      </w:rPr>
    </w:lvl>
    <w:lvl w:ilvl="1">
      <w:start w:val="0"/>
      <w:numFmt w:val="bullet"/>
      <w:isLgl w:val="false"/>
      <w:suff w:val="tab"/>
      <w:lvlText w:val="•"/>
      <w:lvlJc w:val="left"/>
      <w:pPr>
        <w:pStyle w:val="1070"/>
        <w:ind w:left="2010" w:hanging="382"/>
      </w:pPr>
    </w:lvl>
    <w:lvl w:ilvl="2">
      <w:start w:val="0"/>
      <w:numFmt w:val="bullet"/>
      <w:isLgl w:val="false"/>
      <w:suff w:val="tab"/>
      <w:lvlText w:val="•"/>
      <w:lvlJc w:val="left"/>
      <w:pPr>
        <w:pStyle w:val="1070"/>
        <w:ind w:left="2781" w:hanging="382"/>
      </w:pPr>
    </w:lvl>
    <w:lvl w:ilvl="3">
      <w:start w:val="0"/>
      <w:numFmt w:val="bullet"/>
      <w:isLgl w:val="false"/>
      <w:suff w:val="tab"/>
      <w:lvlText w:val="•"/>
      <w:lvlJc w:val="left"/>
      <w:pPr>
        <w:pStyle w:val="1070"/>
        <w:ind w:left="3551" w:hanging="382"/>
      </w:pPr>
    </w:lvl>
    <w:lvl w:ilvl="4">
      <w:start w:val="0"/>
      <w:numFmt w:val="bullet"/>
      <w:isLgl w:val="false"/>
      <w:suff w:val="tab"/>
      <w:lvlText w:val="•"/>
      <w:lvlJc w:val="left"/>
      <w:pPr>
        <w:pStyle w:val="1070"/>
        <w:ind w:left="4322" w:hanging="382"/>
      </w:pPr>
    </w:lvl>
    <w:lvl w:ilvl="5">
      <w:start w:val="0"/>
      <w:numFmt w:val="bullet"/>
      <w:isLgl w:val="false"/>
      <w:suff w:val="tab"/>
      <w:lvlText w:val="•"/>
      <w:lvlJc w:val="left"/>
      <w:pPr>
        <w:pStyle w:val="1070"/>
        <w:ind w:left="5093" w:hanging="382"/>
      </w:pPr>
    </w:lvl>
    <w:lvl w:ilvl="6">
      <w:start w:val="0"/>
      <w:numFmt w:val="bullet"/>
      <w:isLgl w:val="false"/>
      <w:suff w:val="tab"/>
      <w:lvlText w:val="•"/>
      <w:lvlJc w:val="left"/>
      <w:pPr>
        <w:pStyle w:val="1070"/>
        <w:ind w:left="5863" w:hanging="382"/>
      </w:pPr>
    </w:lvl>
    <w:lvl w:ilvl="7">
      <w:start w:val="0"/>
      <w:numFmt w:val="bullet"/>
      <w:isLgl w:val="false"/>
      <w:suff w:val="tab"/>
      <w:lvlText w:val="•"/>
      <w:lvlJc w:val="left"/>
      <w:pPr>
        <w:pStyle w:val="1070"/>
        <w:ind w:left="6634" w:hanging="382"/>
      </w:pPr>
    </w:lvl>
    <w:lvl w:ilvl="8">
      <w:start w:val="0"/>
      <w:numFmt w:val="bullet"/>
      <w:isLgl w:val="false"/>
      <w:suff w:val="tab"/>
      <w:lvlText w:val="•"/>
      <w:lvlJc w:val="left"/>
      <w:pPr>
        <w:pStyle w:val="1070"/>
        <w:ind w:left="7404" w:hanging="382"/>
      </w:pPr>
    </w:lvl>
  </w:abstractNum>
  <w:abstractNum w:abstractNumId="9">
    <w:multiLevelType w:val="hybridMultilevel"/>
    <w:lvl w:ilvl="0">
      <w:start w:val="1"/>
      <w:numFmt w:val="decimal"/>
      <w:pStyle w:val="1279"/>
      <w:isLgl w:val="false"/>
      <w:suff w:val="tab"/>
      <w:lvlText w:val="%1"/>
      <w:lvlJc w:val="left"/>
      <w:pPr>
        <w:pStyle w:val="1070"/>
        <w:ind w:left="680" w:hanging="680"/>
      </w:pPr>
      <w:rPr>
        <w:rFonts w:hint="eastAsia" w:ascii="宋体" w:hAnsi="宋体" w:eastAsia="宋体"/>
      </w:rPr>
    </w:lvl>
    <w:lvl w:ilvl="1">
      <w:start w:val="1"/>
      <w:numFmt w:val="decimal"/>
      <w:pStyle w:val="1280"/>
      <w:isLgl w:val="false"/>
      <w:suff w:val="tab"/>
      <w:lvlText w:val="%1.%2"/>
      <w:lvlJc w:val="left"/>
      <w:pPr>
        <w:pStyle w:val="1070"/>
        <w:ind w:left="851" w:hanging="851"/>
      </w:pPr>
      <w:rPr>
        <w:rFonts w:hint="eastAsia" w:ascii="宋体" w:hAnsi="宋体" w:eastAsia="宋体"/>
        <w:color w:val="000000"/>
      </w:rPr>
    </w:lvl>
    <w:lvl w:ilvl="2">
      <w:start w:val="1"/>
      <w:numFmt w:val="decimal"/>
      <w:pStyle w:val="1281"/>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color w:val="000000"/>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82"/>
    <w:link w:val="1070"/>
    <w:qFormat/>
    <w:pPr>
      <w:jc w:val="both"/>
      <w:widowControl w:val="off"/>
    </w:pPr>
    <w:rPr>
      <w:sz w:val="21"/>
      <w:szCs w:val="24"/>
      <w:lang w:val="en-US" w:eastAsia="zh-CN" w:bidi="ar-SA"/>
    </w:rPr>
  </w:style>
  <w:style w:type="paragraph" w:styleId="1071">
    <w:name w:val="标题 1"/>
    <w:basedOn w:val="1070"/>
    <w:next w:val="1070"/>
    <w:link w:val="1087"/>
    <w:qFormat/>
    <w:pPr>
      <w:jc w:val="center"/>
      <w:keepLines/>
      <w:keepNext/>
      <w:spacing w:before="240" w:after="120" w:line="300" w:lineRule="auto"/>
      <w:outlineLvl w:val="0"/>
    </w:pPr>
    <w:rPr>
      <w:rFonts w:ascii="宋体"/>
      <w:b/>
      <w:sz w:val="32"/>
      <w:szCs w:val="20"/>
    </w:rPr>
  </w:style>
  <w:style w:type="paragraph" w:styleId="1072">
    <w:name w:val="标题 2"/>
    <w:basedOn w:val="1070"/>
    <w:next w:val="1089"/>
    <w:link w:val="1088"/>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9"/>
    <w:link w:val="1091"/>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92"/>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93"/>
    <w:qFormat/>
    <w:pPr>
      <w:keepLines/>
      <w:keepNext/>
      <w:spacing w:before="280" w:after="290" w:line="376" w:lineRule="atLeast"/>
      <w:outlineLvl w:val="4"/>
    </w:pPr>
    <w:rPr>
      <w:b/>
      <w:sz w:val="28"/>
      <w:szCs w:val="20"/>
    </w:rPr>
  </w:style>
  <w:style w:type="paragraph" w:styleId="1076">
    <w:name w:val="标题 6"/>
    <w:basedOn w:val="1070"/>
    <w:next w:val="1070"/>
    <w:link w:val="1094"/>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5"/>
    <w:qFormat/>
    <w:pPr>
      <w:keepLines/>
      <w:keepNext/>
      <w:spacing w:before="240" w:after="64" w:line="320" w:lineRule="atLeast"/>
      <w:outlineLvl w:val="6"/>
    </w:pPr>
    <w:rPr>
      <w:b/>
      <w:sz w:val="24"/>
      <w:szCs w:val="20"/>
    </w:rPr>
  </w:style>
  <w:style w:type="paragraph" w:styleId="1078">
    <w:name w:val="标题 8"/>
    <w:basedOn w:val="1070"/>
    <w:next w:val="1070"/>
    <w:link w:val="1096"/>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7"/>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paragraph" w:styleId="1082">
    <w:name w:val="正文首行缩进 2"/>
    <w:basedOn w:val="1083"/>
    <w:next w:val="1070"/>
    <w:link w:val="1086"/>
    <w:qFormat/>
    <w:pPr>
      <w:ind w:left="420" w:firstLine="420"/>
      <w:spacing w:after="120" w:line="480" w:lineRule="exact"/>
    </w:pPr>
    <w:rPr>
      <w:szCs w:val="20"/>
    </w:rPr>
  </w:style>
  <w:style w:type="paragraph" w:styleId="1083">
    <w:name w:val="正文文本缩进"/>
    <w:basedOn w:val="1070"/>
    <w:next w:val="1085"/>
    <w:link w:val="1084"/>
    <w:qFormat/>
    <w:pPr>
      <w:ind w:firstLine="570"/>
      <w:spacing w:line="360" w:lineRule="auto"/>
    </w:pPr>
    <w:rPr>
      <w:sz w:val="24"/>
    </w:rPr>
  </w:style>
  <w:style w:type="character" w:styleId="1084">
    <w:name w:val="正文文本缩进 Char2"/>
    <w:next w:val="1084"/>
    <w:link w:val="1083"/>
    <w:qFormat/>
    <w:rPr>
      <w:rFonts w:eastAsia="宋体"/>
      <w:sz w:val="24"/>
      <w:szCs w:val="24"/>
      <w:lang w:val="en-US" w:eastAsia="zh-CN" w:bidi="ar-SA"/>
    </w:rPr>
  </w:style>
  <w:style w:type="paragraph" w:styleId="1085">
    <w:name w:val="寄信人地址"/>
    <w:basedOn w:val="1070"/>
    <w:next w:val="1085"/>
    <w:link w:val="1070"/>
    <w:qFormat/>
    <w:rPr>
      <w:rFonts w:ascii="Arial" w:hAnsi="Arial"/>
    </w:rPr>
  </w:style>
  <w:style w:type="character" w:styleId="1086">
    <w:name w:val="正文首行缩进 2 Char"/>
    <w:next w:val="1086"/>
    <w:link w:val="1082"/>
    <w:qFormat/>
    <w:rPr>
      <w:rFonts w:eastAsia="宋体"/>
      <w:sz w:val="24"/>
      <w:szCs w:val="24"/>
      <w:lang w:val="en-US" w:eastAsia="zh-CN" w:bidi="ar-SA"/>
    </w:rPr>
  </w:style>
  <w:style w:type="character" w:styleId="1087">
    <w:name w:val="标题 1 Char"/>
    <w:next w:val="1087"/>
    <w:link w:val="1071"/>
    <w:qFormat/>
    <w:rPr>
      <w:rFonts w:ascii="宋体"/>
      <w:b/>
      <w:sz w:val="32"/>
    </w:rPr>
  </w:style>
  <w:style w:type="character" w:styleId="1088">
    <w:name w:val="标题 2 Char1"/>
    <w:next w:val="1088"/>
    <w:link w:val="1072"/>
    <w:qFormat/>
    <w:rPr>
      <w:rFonts w:ascii="Arial" w:hAnsi="Arial" w:eastAsia="黑体"/>
      <w:b/>
      <w:sz w:val="30"/>
      <w:lang w:val="en-US" w:eastAsia="zh-CN" w:bidi="ar-SA"/>
    </w:rPr>
  </w:style>
  <w:style w:type="paragraph" w:styleId="1089">
    <w:name w:val="正文缩进"/>
    <w:basedOn w:val="1070"/>
    <w:next w:val="1089"/>
    <w:link w:val="1090"/>
    <w:uiPriority w:val="99"/>
    <w:qFormat/>
    <w:pPr>
      <w:ind w:firstLine="420"/>
      <w:jc w:val="left"/>
    </w:pPr>
    <w:rPr>
      <w:rFonts w:ascii="宋体"/>
      <w:sz w:val="24"/>
    </w:rPr>
  </w:style>
  <w:style w:type="character" w:styleId="1090">
    <w:name w:val="正文缩进 Char1"/>
    <w:next w:val="1090"/>
    <w:link w:val="1089"/>
    <w:qFormat/>
    <w:rPr>
      <w:rFonts w:ascii="宋体" w:eastAsia="宋体"/>
      <w:sz w:val="24"/>
      <w:szCs w:val="24"/>
      <w:lang w:val="en-US" w:eastAsia="zh-CN" w:bidi="ar-SA"/>
    </w:rPr>
  </w:style>
  <w:style w:type="character" w:styleId="1091">
    <w:name w:val="标题 3 Char1"/>
    <w:next w:val="1091"/>
    <w:link w:val="1073"/>
    <w:qFormat/>
    <w:rPr>
      <w:rFonts w:ascii="宋体" w:eastAsia="宋体"/>
      <w:b/>
      <w:sz w:val="24"/>
      <w:u w:val="single"/>
      <w:lang w:val="en-US" w:eastAsia="zh-CN" w:bidi="ar-SA"/>
    </w:rPr>
  </w:style>
  <w:style w:type="character" w:styleId="1092">
    <w:name w:val="标题 4 Char"/>
    <w:next w:val="1092"/>
    <w:link w:val="1074"/>
    <w:qFormat/>
    <w:rPr>
      <w:rFonts w:ascii="Arial" w:hAnsi="Arial" w:eastAsia="黑体"/>
      <w:b/>
      <w:sz w:val="28"/>
    </w:rPr>
  </w:style>
  <w:style w:type="character" w:styleId="1093">
    <w:name w:val="标题 5 Char"/>
    <w:next w:val="1093"/>
    <w:link w:val="1075"/>
    <w:qFormat/>
    <w:rPr>
      <w:b/>
      <w:sz w:val="28"/>
    </w:rPr>
  </w:style>
  <w:style w:type="character" w:styleId="1094">
    <w:name w:val="标题 6 Char"/>
    <w:next w:val="1094"/>
    <w:link w:val="1076"/>
    <w:qFormat/>
    <w:rPr>
      <w:rFonts w:ascii="Arial" w:hAnsi="Arial" w:eastAsia="黑体"/>
      <w:b/>
      <w:sz w:val="24"/>
    </w:rPr>
  </w:style>
  <w:style w:type="character" w:styleId="1095">
    <w:name w:val="标题 7 Char"/>
    <w:next w:val="1095"/>
    <w:link w:val="1077"/>
    <w:qFormat/>
    <w:rPr>
      <w:b/>
      <w:sz w:val="24"/>
    </w:rPr>
  </w:style>
  <w:style w:type="character" w:styleId="1096">
    <w:name w:val="标题 8 Char"/>
    <w:next w:val="1096"/>
    <w:link w:val="1078"/>
    <w:qFormat/>
    <w:rPr>
      <w:rFonts w:ascii="Arial" w:hAnsi="Arial" w:eastAsia="黑体"/>
      <w:sz w:val="24"/>
    </w:rPr>
  </w:style>
  <w:style w:type="character" w:styleId="1097">
    <w:name w:val="标题 9 Char"/>
    <w:next w:val="1097"/>
    <w:link w:val="1079"/>
    <w:qFormat/>
    <w:rPr>
      <w:rFonts w:ascii="Arial" w:hAnsi="Arial" w:eastAsia="黑体"/>
      <w:sz w:val="21"/>
    </w:rPr>
  </w:style>
  <w:style w:type="paragraph" w:styleId="1098">
    <w:name w:val="目录 7"/>
    <w:basedOn w:val="1070"/>
    <w:next w:val="1070"/>
    <w:link w:val="1070"/>
    <w:qFormat/>
    <w:pPr>
      <w:ind w:left="2520"/>
    </w:pPr>
  </w:style>
  <w:style w:type="paragraph" w:styleId="1099">
    <w:name w:val="题注"/>
    <w:basedOn w:val="1070"/>
    <w:next w:val="1070"/>
    <w:link w:val="1070"/>
    <w:qFormat/>
    <w:pPr>
      <w:spacing w:line="480" w:lineRule="auto"/>
    </w:pPr>
    <w:rPr>
      <w:rFonts w:ascii="华文中宋" w:hAnsi="华文中宋" w:eastAsia="华文中宋"/>
      <w:sz w:val="36"/>
      <w:szCs w:val="20"/>
    </w:rPr>
  </w:style>
  <w:style w:type="paragraph" w:styleId="1100">
    <w:name w:val="文档结构图"/>
    <w:basedOn w:val="1070"/>
    <w:next w:val="1100"/>
    <w:link w:val="1101"/>
    <w:qFormat/>
    <w:pPr>
      <w:shd w:val="clear" w:color="auto" w:fill="000080"/>
    </w:pPr>
  </w:style>
  <w:style w:type="character" w:styleId="1101">
    <w:name w:val="文档结构图 Char"/>
    <w:next w:val="1101"/>
    <w:link w:val="1100"/>
    <w:qFormat/>
    <w:rPr>
      <w:sz w:val="21"/>
      <w:szCs w:val="24"/>
      <w:shd w:val="clear" w:color="auto" w:fill="000080"/>
    </w:rPr>
  </w:style>
  <w:style w:type="paragraph" w:styleId="1102">
    <w:name w:val="批注文字"/>
    <w:basedOn w:val="1070"/>
    <w:next w:val="1102"/>
    <w:link w:val="1103"/>
    <w:uiPriority w:val="99"/>
    <w:qFormat/>
    <w:pPr>
      <w:jc w:val="left"/>
    </w:pPr>
  </w:style>
  <w:style w:type="character" w:styleId="1103">
    <w:name w:val="批注文字 Char1"/>
    <w:next w:val="1103"/>
    <w:link w:val="1102"/>
    <w:uiPriority w:val="99"/>
    <w:qFormat/>
    <w:rPr>
      <w:sz w:val="21"/>
      <w:szCs w:val="24"/>
    </w:rPr>
  </w:style>
  <w:style w:type="paragraph" w:styleId="1104">
    <w:name w:val="正文文本 3"/>
    <w:basedOn w:val="1070"/>
    <w:next w:val="1104"/>
    <w:link w:val="1105"/>
    <w:qFormat/>
    <w:pPr>
      <w:spacing w:after="120"/>
    </w:pPr>
    <w:rPr>
      <w:sz w:val="16"/>
      <w:szCs w:val="16"/>
    </w:rPr>
  </w:style>
  <w:style w:type="character" w:styleId="1105">
    <w:name w:val="正文文本 3 Char"/>
    <w:next w:val="1105"/>
    <w:link w:val="1104"/>
    <w:qFormat/>
    <w:rPr>
      <w:sz w:val="16"/>
      <w:szCs w:val="16"/>
    </w:rPr>
  </w:style>
  <w:style w:type="paragraph" w:styleId="1106">
    <w:name w:val="正文文本"/>
    <w:basedOn w:val="1070"/>
    <w:next w:val="1106"/>
    <w:link w:val="1107"/>
    <w:qFormat/>
    <w:pPr>
      <w:spacing w:before="120" w:line="22" w:lineRule="atLeast"/>
      <w:tabs>
        <w:tab w:val="left" w:pos="567" w:leader="none"/>
      </w:tabs>
    </w:pPr>
    <w:rPr>
      <w:rFonts w:ascii="宋体" w:hAnsi="宋体"/>
      <w:sz w:val="24"/>
    </w:rPr>
  </w:style>
  <w:style w:type="character" w:styleId="1107">
    <w:name w:val="正文文本 Char"/>
    <w:next w:val="1107"/>
    <w:link w:val="1106"/>
    <w:qFormat/>
    <w:rPr>
      <w:rFonts w:ascii="宋体" w:hAnsi="宋体"/>
      <w:sz w:val="24"/>
      <w:szCs w:val="24"/>
    </w:rPr>
  </w:style>
  <w:style w:type="paragraph" w:styleId="1108">
    <w:name w:val="列表 2"/>
    <w:basedOn w:val="1070"/>
    <w:next w:val="1108"/>
    <w:link w:val="1070"/>
    <w:qFormat/>
    <w:pPr>
      <w:ind w:left="100" w:hanging="200"/>
    </w:pPr>
  </w:style>
  <w:style w:type="paragraph" w:styleId="1109">
    <w:name w:val="文本块"/>
    <w:basedOn w:val="1070"/>
    <w:next w:val="1109"/>
    <w:link w:val="1070"/>
    <w:qFormat/>
    <w:pPr>
      <w:ind w:left="480" w:right="-341" w:firstLine="513"/>
      <w:widowControl/>
    </w:pPr>
    <w:rPr>
      <w:sz w:val="24"/>
      <w:szCs w:val="20"/>
    </w:rPr>
  </w:style>
  <w:style w:type="paragraph" w:styleId="1110">
    <w:name w:val="目录 5"/>
    <w:basedOn w:val="1070"/>
    <w:next w:val="1070"/>
    <w:link w:val="1070"/>
    <w:qFormat/>
    <w:pPr>
      <w:ind w:left="1680"/>
    </w:pPr>
  </w:style>
  <w:style w:type="paragraph" w:styleId="1111">
    <w:name w:val="目录 3"/>
    <w:basedOn w:val="1070"/>
    <w:next w:val="1070"/>
    <w:link w:val="1070"/>
    <w:uiPriority w:val="39"/>
    <w:qFormat/>
    <w:pPr>
      <w:ind w:left="840"/>
    </w:pPr>
  </w:style>
  <w:style w:type="paragraph" w:styleId="1112">
    <w:name w:val="纯文本"/>
    <w:basedOn w:val="1070"/>
    <w:next w:val="1112"/>
    <w:link w:val="1113"/>
    <w:uiPriority w:val="99"/>
    <w:qFormat/>
    <w:rPr>
      <w:rFonts w:hint="eastAsia" w:ascii="宋体" w:hAnsi="Courier New"/>
      <w:szCs w:val="20"/>
    </w:rPr>
  </w:style>
  <w:style w:type="character" w:styleId="1113">
    <w:name w:val="纯文本 Char"/>
    <w:next w:val="1113"/>
    <w:link w:val="1112"/>
    <w:qFormat/>
    <w:rPr>
      <w:rFonts w:hint="eastAsia" w:ascii="宋体" w:hAnsi="Courier New" w:eastAsia="宋体" w:cs="宋体"/>
      <w:sz w:val="21"/>
    </w:rPr>
  </w:style>
  <w:style w:type="paragraph" w:styleId="1114">
    <w:name w:val="目录 8"/>
    <w:basedOn w:val="1070"/>
    <w:next w:val="1070"/>
    <w:link w:val="1070"/>
    <w:qFormat/>
    <w:pPr>
      <w:ind w:left="2940"/>
    </w:pPr>
  </w:style>
  <w:style w:type="paragraph" w:styleId="1115">
    <w:name w:val="日期"/>
    <w:basedOn w:val="1070"/>
    <w:next w:val="1070"/>
    <w:link w:val="1116"/>
    <w:qFormat/>
    <w:pPr>
      <w:ind w:left="100"/>
    </w:pPr>
    <w:rPr>
      <w:rFonts w:ascii="仿宋_GB2312" w:hAnsi="宋体" w:eastAsia="仿宋_GB2312"/>
      <w:color w:val="000000"/>
      <w:sz w:val="24"/>
    </w:rPr>
  </w:style>
  <w:style w:type="character" w:styleId="1116">
    <w:name w:val="日期 Char"/>
    <w:next w:val="1116"/>
    <w:link w:val="1115"/>
    <w:qFormat/>
    <w:rPr>
      <w:rFonts w:ascii="仿宋_GB2312" w:hAnsi="宋体" w:eastAsia="仿宋_GB2312"/>
      <w:color w:val="000000"/>
      <w:sz w:val="24"/>
      <w:szCs w:val="24"/>
    </w:rPr>
  </w:style>
  <w:style w:type="paragraph" w:styleId="1117">
    <w:name w:val="正文文本缩进 2"/>
    <w:basedOn w:val="1070"/>
    <w:next w:val="1117"/>
    <w:link w:val="1118"/>
    <w:qFormat/>
    <w:pPr>
      <w:ind w:firstLine="480"/>
    </w:pPr>
    <w:rPr>
      <w:rFonts w:ascii="仿宋_GB2312" w:eastAsia="仿宋_GB2312"/>
      <w:sz w:val="24"/>
    </w:rPr>
  </w:style>
  <w:style w:type="character" w:styleId="1118">
    <w:name w:val="正文文本缩进 2 Char"/>
    <w:next w:val="1118"/>
    <w:link w:val="1117"/>
    <w:qFormat/>
    <w:rPr>
      <w:rFonts w:ascii="仿宋_GB2312" w:eastAsia="仿宋_GB2312"/>
      <w:sz w:val="24"/>
      <w:szCs w:val="24"/>
    </w:rPr>
  </w:style>
  <w:style w:type="paragraph" w:styleId="1119">
    <w:name w:val="批注框文本"/>
    <w:basedOn w:val="1070"/>
    <w:next w:val="1119"/>
    <w:link w:val="1120"/>
    <w:qFormat/>
    <w:rPr>
      <w:sz w:val="18"/>
      <w:szCs w:val="18"/>
    </w:rPr>
  </w:style>
  <w:style w:type="character" w:styleId="1120">
    <w:name w:val="批注框文本 Char"/>
    <w:next w:val="1120"/>
    <w:link w:val="1119"/>
    <w:qFormat/>
    <w:rPr>
      <w:sz w:val="18"/>
      <w:szCs w:val="18"/>
    </w:rPr>
  </w:style>
  <w:style w:type="paragraph" w:styleId="1121">
    <w:name w:val="页脚"/>
    <w:basedOn w:val="1070"/>
    <w:next w:val="1121"/>
    <w:link w:val="1122"/>
    <w:uiPriority w:val="99"/>
    <w:qFormat/>
    <w:pPr>
      <w:jc w:val="left"/>
      <w:tabs>
        <w:tab w:val="center" w:pos="4153" w:leader="none"/>
        <w:tab w:val="right" w:pos="8306" w:leader="none"/>
      </w:tabs>
    </w:pPr>
    <w:rPr>
      <w:rFonts w:ascii="宋体"/>
      <w:sz w:val="18"/>
      <w:szCs w:val="20"/>
    </w:rPr>
  </w:style>
  <w:style w:type="character" w:styleId="1122">
    <w:name w:val="页脚 Char1"/>
    <w:next w:val="1122"/>
    <w:link w:val="1121"/>
    <w:uiPriority w:val="99"/>
    <w:qFormat/>
    <w:rPr>
      <w:rFonts w:ascii="宋体" w:eastAsia="宋体"/>
      <w:sz w:val="18"/>
      <w:lang w:val="en-US" w:eastAsia="zh-CN" w:bidi="ar-SA"/>
    </w:rPr>
  </w:style>
  <w:style w:type="paragraph" w:styleId="1123">
    <w:name w:val="页眉"/>
    <w:basedOn w:val="1070"/>
    <w:next w:val="1123"/>
    <w:link w:val="1124"/>
    <w:qFormat/>
    <w:pPr>
      <w:jc w:val="center"/>
      <w:tabs>
        <w:tab w:val="center" w:pos="4153" w:leader="none"/>
        <w:tab w:val="right" w:pos="8306" w:leader="none"/>
      </w:tabs>
      <w:pBdr>
        <w:bottom w:val="single" w:color="000000" w:sz="6" w:space="1"/>
      </w:pBdr>
    </w:pPr>
    <w:rPr>
      <w:sz w:val="18"/>
      <w:szCs w:val="18"/>
    </w:rPr>
  </w:style>
  <w:style w:type="character" w:styleId="1124">
    <w:name w:val="页眉 Char1"/>
    <w:next w:val="1124"/>
    <w:link w:val="1123"/>
    <w:qFormat/>
    <w:rPr>
      <w:rFonts w:eastAsia="宋体"/>
      <w:sz w:val="18"/>
      <w:szCs w:val="18"/>
      <w:lang w:val="en-US" w:eastAsia="zh-CN" w:bidi="ar-SA"/>
    </w:rPr>
  </w:style>
  <w:style w:type="paragraph" w:styleId="1125">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6">
    <w:name w:val="目录 4"/>
    <w:basedOn w:val="1070"/>
    <w:next w:val="1070"/>
    <w:link w:val="1070"/>
    <w:qFormat/>
    <w:pPr>
      <w:ind w:left="1260"/>
    </w:pPr>
  </w:style>
  <w:style w:type="paragraph" w:styleId="1127">
    <w:name w:val="目录 6"/>
    <w:basedOn w:val="1070"/>
    <w:next w:val="1070"/>
    <w:link w:val="1070"/>
    <w:qFormat/>
    <w:pPr>
      <w:ind w:left="2100"/>
    </w:pPr>
  </w:style>
  <w:style w:type="paragraph" w:styleId="1128">
    <w:name w:val="正文文本缩进 3"/>
    <w:basedOn w:val="1070"/>
    <w:next w:val="1128"/>
    <w:link w:val="1129"/>
    <w:qFormat/>
    <w:pPr>
      <w:ind w:left="720" w:firstLine="480"/>
      <w:jc w:val="left"/>
      <w:spacing w:before="120" w:line="22" w:lineRule="atLeast"/>
    </w:pPr>
    <w:rPr>
      <w:rFonts w:ascii="宋体"/>
      <w:sz w:val="24"/>
      <w:szCs w:val="20"/>
    </w:rPr>
  </w:style>
  <w:style w:type="character" w:styleId="1129">
    <w:name w:val="正文文本缩进 3 Char"/>
    <w:next w:val="1129"/>
    <w:link w:val="1128"/>
    <w:qFormat/>
    <w:rPr>
      <w:rFonts w:ascii="宋体"/>
      <w:sz w:val="24"/>
    </w:rPr>
  </w:style>
  <w:style w:type="paragraph" w:styleId="1130">
    <w:name w:val="目录 2"/>
    <w:basedOn w:val="1070"/>
    <w:next w:val="1070"/>
    <w:link w:val="1070"/>
    <w:uiPriority w:val="39"/>
    <w:qFormat/>
    <w:pPr>
      <w:ind w:left="420"/>
      <w:spacing w:line="312" w:lineRule="auto"/>
      <w:tabs>
        <w:tab w:val="right" w:pos="8937" w:leader="dot"/>
      </w:tabs>
    </w:pPr>
  </w:style>
  <w:style w:type="paragraph" w:styleId="1131">
    <w:name w:val="目录 9"/>
    <w:basedOn w:val="1070"/>
    <w:next w:val="1070"/>
    <w:link w:val="1070"/>
    <w:qFormat/>
    <w:pPr>
      <w:ind w:left="3360"/>
    </w:pPr>
  </w:style>
  <w:style w:type="paragraph" w:styleId="1132">
    <w:name w:val="HTML 预设格式"/>
    <w:basedOn w:val="1070"/>
    <w:next w:val="1132"/>
    <w:link w:val="11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3">
    <w:name w:val="HTML 预设格式 Char"/>
    <w:next w:val="1133"/>
    <w:link w:val="1132"/>
    <w:qFormat/>
    <w:rPr>
      <w:rFonts w:ascii="宋体" w:hAnsi="宋体" w:cs="宋体"/>
      <w:sz w:val="24"/>
      <w:szCs w:val="24"/>
    </w:rPr>
  </w:style>
  <w:style w:type="paragraph" w:styleId="1134">
    <w:name w:val="普通(网站)"/>
    <w:basedOn w:val="1070"/>
    <w:next w:val="1134"/>
    <w:link w:val="1070"/>
    <w:uiPriority w:val="99"/>
    <w:unhideWhenUsed/>
    <w:qFormat/>
    <w:pPr>
      <w:jc w:val="left"/>
      <w:spacing w:before="100" w:beforeAutospacing="1" w:after="100" w:afterAutospacing="1"/>
      <w:widowControl/>
    </w:pPr>
    <w:rPr>
      <w:rFonts w:ascii="宋体" w:hAnsi="宋体" w:cs="宋体"/>
      <w:sz w:val="24"/>
    </w:rPr>
  </w:style>
  <w:style w:type="paragraph" w:styleId="1135">
    <w:name w:val="索引 1"/>
    <w:basedOn w:val="1070"/>
    <w:next w:val="1070"/>
    <w:link w:val="1070"/>
    <w:qFormat/>
    <w:rPr>
      <w:szCs w:val="20"/>
    </w:rPr>
  </w:style>
  <w:style w:type="paragraph" w:styleId="1136">
    <w:name w:val="标题"/>
    <w:basedOn w:val="1070"/>
    <w:next w:val="1136"/>
    <w:link w:val="1137"/>
    <w:qFormat/>
    <w:pPr>
      <w:jc w:val="center"/>
      <w:outlineLvl w:val="0"/>
    </w:pPr>
    <w:rPr>
      <w:b/>
      <w:sz w:val="32"/>
      <w:szCs w:val="20"/>
    </w:rPr>
  </w:style>
  <w:style w:type="character" w:styleId="1137">
    <w:name w:val="标题 Char1"/>
    <w:next w:val="1137"/>
    <w:link w:val="1136"/>
    <w:qFormat/>
    <w:rPr>
      <w:b/>
      <w:sz w:val="32"/>
    </w:rPr>
  </w:style>
  <w:style w:type="paragraph" w:styleId="1138">
    <w:name w:val="批注主题"/>
    <w:basedOn w:val="1102"/>
    <w:next w:val="1102"/>
    <w:link w:val="1139"/>
    <w:qFormat/>
    <w:rPr>
      <w:b/>
      <w:bCs/>
    </w:rPr>
  </w:style>
  <w:style w:type="character" w:styleId="1139">
    <w:name w:val="批注主题 Char"/>
    <w:next w:val="1139"/>
    <w:link w:val="1138"/>
    <w:qFormat/>
    <w:rPr>
      <w:rFonts w:ascii="Times New Roman" w:hAnsi="Times New Roman" w:eastAsia="宋体" w:cs="Times New Roman"/>
      <w:b/>
      <w:bCs/>
      <w:sz w:val="21"/>
      <w:szCs w:val="24"/>
      <w:lang w:val="en-US" w:eastAsia="zh-CN" w:bidi="ar-SA"/>
    </w:rPr>
  </w:style>
  <w:style w:type="table" w:styleId="1140">
    <w:name w:val="网格型"/>
    <w:basedOn w:val="1081"/>
    <w:next w:val="1140"/>
    <w:link w:val="1070"/>
    <w:uiPriority w:val="39"/>
    <w:qFormat/>
    <w:tblPr/>
  </w:style>
  <w:style w:type="table" w:styleId="1141">
    <w:name w:val="中等深浅网格 1 - 强调文字颜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已访问的超链接"/>
    <w:next w:val="1144"/>
    <w:link w:val="1070"/>
    <w:qFormat/>
    <w:rPr>
      <w:color w:val="800080"/>
      <w:u w:val="single"/>
    </w:rPr>
  </w:style>
  <w:style w:type="character" w:styleId="1145">
    <w:name w:val="强调"/>
    <w:next w:val="1145"/>
    <w:link w:val="1070"/>
    <w:qFormat/>
    <w:rPr>
      <w:color w:val="cc0033"/>
    </w:rPr>
  </w:style>
  <w:style w:type="character" w:styleId="1146">
    <w:name w:val="超链接"/>
    <w:next w:val="1146"/>
    <w:link w:val="1070"/>
    <w:uiPriority w:val="99"/>
    <w:qFormat/>
    <w:rPr>
      <w:color w:val="0000ff"/>
      <w:u w:val="singl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批注文字 字符"/>
    <w:next w:val="1149"/>
    <w:link w:val="1070"/>
    <w:uiPriority w:val="99"/>
    <w:qFormat/>
    <w:rPr>
      <w:rFonts w:ascii="Times New Roman" w:hAnsi="Times New Roman" w:eastAsia="宋体" w:cs="Times New Roman"/>
      <w:sz w:val="24"/>
      <w:lang w:val="en-US" w:eastAsia="zh-CN" w:bidi="ar-SA"/>
    </w:rPr>
  </w:style>
  <w:style w:type="character" w:styleId="1150">
    <w:name w:val="c21"/>
    <w:next w:val="1150"/>
    <w:link w:val="1070"/>
    <w:qFormat/>
    <w:rPr>
      <w:rFonts w:ascii="ˎ̥" w:hAnsi="ˎ̥"/>
      <w:color w:val="000000"/>
      <w:sz w:val="20"/>
      <w:szCs w:val="20"/>
      <w:u w:val="none"/>
    </w:rPr>
  </w:style>
  <w:style w:type="character" w:styleId="1151">
    <w:name w:val="title4"/>
    <w:next w:val="1151"/>
    <w:link w:val="1070"/>
    <w:qFormat/>
    <w:rPr>
      <w:b/>
      <w:bCs/>
      <w:color w:val="1d87b3"/>
      <w:sz w:val="15"/>
      <w:szCs w:val="15"/>
    </w:rPr>
  </w:style>
  <w:style w:type="character" w:styleId="1152">
    <w:name w:val="标题 2 Char Char"/>
    <w:next w:val="1152"/>
    <w:link w:val="1070"/>
    <w:qFormat/>
    <w:rPr>
      <w:rFonts w:ascii="Arial" w:hAnsi="Arial" w:eastAsia="黑体"/>
      <w:b/>
      <w:bCs/>
      <w:sz w:val="32"/>
      <w:szCs w:val="32"/>
      <w:lang w:val="en-US" w:eastAsia="zh-CN" w:bidi="ar-SA"/>
    </w:rPr>
  </w:style>
  <w:style w:type="character" w:styleId="1153">
    <w:name w:val="black1"/>
    <w:next w:val="1153"/>
    <w:link w:val="1070"/>
    <w:qFormat/>
    <w:rPr>
      <w:color w:val="000000"/>
    </w:rPr>
  </w:style>
  <w:style w:type="character" w:styleId="1154">
    <w:name w:val="street-address"/>
    <w:next w:val="1154"/>
    <w:link w:val="1070"/>
    <w:qFormat/>
  </w:style>
  <w:style w:type="character" w:styleId="1155">
    <w:name w:val="locality"/>
    <w:next w:val="1155"/>
    <w:link w:val="1070"/>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0"/>
    <w:next w:val="1157"/>
    <w:link w:val="1156"/>
    <w:qFormat/>
    <w:pPr>
      <w:ind w:firstLine="480"/>
      <w:spacing w:line="480" w:lineRule="exact"/>
    </w:pPr>
    <w:rPr>
      <w:rFonts w:ascii="宋体" w:hAnsi="宋体"/>
      <w:sz w:val="24"/>
    </w:rPr>
  </w:style>
  <w:style w:type="character" w:styleId="1158">
    <w:name w:val="Char Char11"/>
    <w:next w:val="1158"/>
    <w:link w:val="1070"/>
    <w:qFormat/>
    <w:rPr>
      <w:rFonts w:ascii="宋体" w:eastAsia="宋体"/>
      <w:b/>
      <w:sz w:val="24"/>
      <w:u w:val="single"/>
      <w:lang w:val="en-US" w:eastAsia="zh-CN" w:bidi="ar-SA"/>
    </w:rPr>
  </w:style>
  <w:style w:type="character" w:styleId="1159">
    <w:name w:val="txt"/>
    <w:next w:val="1159"/>
    <w:link w:val="1070"/>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0"/>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0"/>
    <w:qFormat/>
    <w:rPr>
      <w:rFonts w:ascii="宋体" w:hAnsi="Courier New" w:eastAsia="宋体"/>
      <w:sz w:val="21"/>
      <w:lang w:val="en-US" w:eastAsia="zh-CN" w:bidi="ar-SA"/>
    </w:rPr>
  </w:style>
  <w:style w:type="character" w:styleId="1163">
    <w:name w:val="chanpin1"/>
    <w:next w:val="1163"/>
    <w:link w:val="1070"/>
    <w:qFormat/>
    <w:rPr>
      <w:rFonts w:ascii="ˎ̥" w:hAnsi="ˎ̥"/>
      <w:color w:val="000000"/>
      <w:sz w:val="20"/>
      <w:szCs w:val="20"/>
      <w:u w:val="none"/>
    </w:rPr>
  </w:style>
  <w:style w:type="character" w:styleId="1164">
    <w:name w:val="列出段落 Char1"/>
    <w:next w:val="1164"/>
    <w:link w:val="1165"/>
    <w:uiPriority w:val="34"/>
    <w:qFormat/>
    <w:rPr>
      <w:rFonts w:ascii="Calibri" w:hAnsi="Calibri" w:eastAsia="宋体"/>
      <w:sz w:val="21"/>
      <w:szCs w:val="22"/>
      <w:lang w:val="en-US" w:eastAsia="zh-CN" w:bidi="ar-SA"/>
    </w:rPr>
  </w:style>
  <w:style w:type="paragraph" w:styleId="1165">
    <w:name w:val="列出段落"/>
    <w:basedOn w:val="1070"/>
    <w:next w:val="1165"/>
    <w:link w:val="1164"/>
    <w:uiPriority w:val="34"/>
    <w:qFormat/>
    <w:pPr>
      <w:ind w:firstLine="420"/>
    </w:pPr>
    <w:rPr>
      <w:rFonts w:ascii="Calibri" w:hAnsi="Calibri"/>
      <w:szCs w:val="22"/>
    </w:rPr>
  </w:style>
  <w:style w:type="character" w:styleId="1166">
    <w:name w:val="标题 3 Char Char"/>
    <w:next w:val="1166"/>
    <w:link w:val="1070"/>
    <w:qFormat/>
    <w:rPr>
      <w:rFonts w:eastAsia="宋体"/>
      <w:b/>
      <w:bCs/>
      <w:sz w:val="32"/>
      <w:szCs w:val="32"/>
      <w:lang w:val="en-US" w:eastAsia="zh-CN" w:bidi="ar-SA"/>
    </w:rPr>
  </w:style>
  <w:style w:type="character" w:styleId="1167">
    <w:name w:val="段1 Char"/>
    <w:next w:val="1167"/>
    <w:link w:val="1070"/>
    <w:qFormat/>
    <w:rPr>
      <w:rFonts w:ascii="宋体" w:eastAsia="宋体"/>
      <w:sz w:val="24"/>
      <w:lang w:val="en-US" w:eastAsia="zh-CN" w:bidi="ar-SA"/>
    </w:rPr>
  </w:style>
  <w:style w:type="character" w:styleId="1168">
    <w:name w:val="chanpin拷贝"/>
    <w:next w:val="1168"/>
    <w:link w:val="1070"/>
    <w:qFormat/>
  </w:style>
  <w:style w:type="character" w:styleId="1169">
    <w:name w:val="纯文本 Char1"/>
    <w:next w:val="1169"/>
    <w:link w:val="1070"/>
    <w:uiPriority w:val="99"/>
    <w:qFormat/>
    <w:rPr>
      <w:rFonts w:ascii="宋体" w:hAnsi="Courier New" w:eastAsia="宋体"/>
      <w:sz w:val="21"/>
      <w:lang w:val="en-US" w:eastAsia="zh-CN" w:bidi="ar-SA"/>
    </w:rPr>
  </w:style>
  <w:style w:type="character" w:styleId="1170">
    <w:name w:val="apple-style-span"/>
    <w:next w:val="1170"/>
    <w:link w:val="1070"/>
    <w:qFormat/>
    <w:rPr>
      <w:rFonts w:cs="Times New Roman"/>
    </w:rPr>
  </w:style>
  <w:style w:type="paragraph" w:styleId="1171">
    <w:name w:val="二级条标题"/>
    <w:basedOn w:val="1172"/>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0"/>
    <w:link w:val="1070"/>
    <w:qFormat/>
    <w:pPr>
      <w:numPr>
        <w:ilvl w:val="1"/>
      </w:numPr>
      <w:ind w:left="0" w:hanging="840"/>
      <w:tabs>
        <w:tab w:val="left" w:pos="360" w:leader="none"/>
        <w:tab w:val="left" w:pos="840" w:leader="none"/>
      </w:tabs>
      <w:outlineLvl w:val="1"/>
    </w:pPr>
  </w:style>
  <w:style w:type="paragraph" w:styleId="1173">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0"/>
    <w:next w:val="1174"/>
    <w:link w:val="1070"/>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0"/>
    <w:next w:val="1175"/>
    <w:link w:val="1070"/>
    <w:qFormat/>
    <w:rPr>
      <w:rFonts w:ascii="Tahoma" w:hAnsi="Tahoma"/>
      <w:sz w:val="24"/>
      <w:szCs w:val="20"/>
    </w:rPr>
  </w:style>
  <w:style w:type="paragraph" w:styleId="1176">
    <w:name w:val="Char3 Char Char Char"/>
    <w:basedOn w:val="1070"/>
    <w:next w:val="1176"/>
    <w:link w:val="1070"/>
    <w:qFormat/>
    <w:rPr>
      <w:rFonts w:ascii="Tahoma" w:hAnsi="Tahoma"/>
      <w:sz w:val="24"/>
      <w:szCs w:val="20"/>
    </w:rPr>
  </w:style>
  <w:style w:type="paragraph" w:styleId="1177">
    <w:name w:val="font6"/>
    <w:basedOn w:val="1070"/>
    <w:next w:val="1177"/>
    <w:link w:val="1070"/>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0"/>
    <w:qFormat/>
    <w:pPr>
      <w:numPr>
        <w:numId w:val="3"/>
      </w:numPr>
    </w:pPr>
  </w:style>
  <w:style w:type="paragraph" w:styleId="1179">
    <w:name w:val="项目编号1"/>
    <w:basedOn w:val="1070"/>
    <w:next w:val="1179"/>
    <w:link w:val="1070"/>
    <w:qFormat/>
    <w:pPr>
      <w:numPr>
        <w:ilvl w:val="0"/>
        <w:numId w:val="2"/>
      </w:numPr>
      <w:spacing w:before="100" w:beforeAutospacing="1" w:after="100" w:afterAutospacing="1" w:line="360" w:lineRule="auto"/>
    </w:pPr>
    <w:rPr>
      <w:sz w:val="24"/>
    </w:rPr>
  </w:style>
  <w:style w:type="paragraph" w:styleId="1180">
    <w:name w:val="图中文字"/>
    <w:basedOn w:val="1070"/>
    <w:next w:val="1180"/>
    <w:link w:val="1070"/>
    <w:qFormat/>
    <w:pPr>
      <w:jc w:val="center"/>
      <w:spacing w:line="0" w:lineRule="atLeast"/>
    </w:pPr>
    <w:rPr>
      <w:sz w:val="24"/>
      <w:szCs w:val="20"/>
    </w:rPr>
  </w:style>
  <w:style w:type="paragraph" w:styleId="1181">
    <w:name w:val="xl46"/>
    <w:basedOn w:val="1070"/>
    <w:next w:val="1181"/>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0"/>
    <w:next w:val="1182"/>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0"/>
    <w:next w:val="1183"/>
    <w:link w:val="1070"/>
    <w:qFormat/>
    <w:rPr>
      <w:rFonts w:ascii="Tahoma" w:hAnsi="Tahoma"/>
      <w:sz w:val="24"/>
      <w:szCs w:val="20"/>
    </w:rPr>
  </w:style>
  <w:style w:type="paragraph" w:styleId="1184">
    <w:name w:val="xl35"/>
    <w:basedOn w:val="1070"/>
    <w:next w:val="118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0"/>
    <w:next w:val="118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0"/>
    <w:next w:val="1187"/>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0"/>
    <w:next w:val="1188"/>
    <w:link w:val="1070"/>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0"/>
    <w:next w:val="1189"/>
    <w:link w:val="1070"/>
    <w:qFormat/>
    <w:pPr>
      <w:ind w:firstLine="200"/>
      <w:spacing w:line="360" w:lineRule="auto"/>
    </w:pPr>
    <w:rPr>
      <w:rFonts w:eastAsia="仿宋_GB2312"/>
      <w:sz w:val="24"/>
    </w:rPr>
  </w:style>
  <w:style w:type="paragraph" w:styleId="1190">
    <w:name w:val="xl38"/>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0"/>
    <w:next w:val="1191"/>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0"/>
    <w:next w:val="1192"/>
    <w:link w:val="1070"/>
    <w:qFormat/>
    <w:pPr>
      <w:ind w:left="360" w:hanging="360"/>
      <w:jc w:val="left"/>
      <w:widowControl/>
    </w:pPr>
    <w:rPr>
      <w:rFonts w:ascii="宋体" w:hAnsi="宋体" w:cs="宋体"/>
      <w:b/>
      <w:bCs/>
      <w:color w:val="000000"/>
      <w:sz w:val="18"/>
      <w:szCs w:val="18"/>
    </w:rPr>
  </w:style>
  <w:style w:type="paragraph" w:styleId="1193">
    <w:name w:val="正文列项_数字"/>
    <w:basedOn w:val="1070"/>
    <w:next w:val="1193"/>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0"/>
    <w:next w:val="119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0"/>
    <w:next w:val="119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0"/>
    <w:next w:val="119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0"/>
    <w:next w:val="1197"/>
    <w:link w:val="1070"/>
    <w:qFormat/>
    <w:pPr>
      <w:jc w:val="left"/>
      <w:spacing w:before="100" w:beforeAutospacing="1" w:after="100" w:afterAutospacing="1"/>
      <w:widowControl/>
    </w:pPr>
    <w:rPr>
      <w:sz w:val="36"/>
      <w:szCs w:val="36"/>
    </w:rPr>
  </w:style>
  <w:style w:type="paragraph" w:styleId="1198">
    <w:name w:val="Char"/>
    <w:basedOn w:val="1070"/>
    <w:next w:val="1198"/>
    <w:link w:val="1070"/>
    <w:qFormat/>
    <w:pPr>
      <w:tabs>
        <w:tab w:val="left" w:pos="360" w:leader="none"/>
      </w:tabs>
    </w:pPr>
    <w:rPr>
      <w:sz w:val="24"/>
    </w:rPr>
  </w:style>
  <w:style w:type="paragraph" w:styleId="1199">
    <w:name w:val="Char Char Char Char Char Char Char Char Char Char Char Char Char Char Char Char"/>
    <w:basedOn w:val="1070"/>
    <w:next w:val="1199"/>
    <w:link w:val="1070"/>
    <w:qFormat/>
    <w:pPr>
      <w:jc w:val="center"/>
      <w:spacing w:after="160" w:line="240" w:lineRule="exact"/>
      <w:widowControl/>
    </w:pPr>
    <w:rPr>
      <w:rFonts w:ascii="宋体" w:hAnsi="宋体"/>
      <w:b/>
      <w:sz w:val="30"/>
      <w:szCs w:val="30"/>
      <w:lang w:eastAsia="en-US"/>
    </w:rPr>
  </w:style>
  <w:style w:type="paragraph" w:styleId="1200">
    <w:name w:val="xl45"/>
    <w:basedOn w:val="1070"/>
    <w:next w:val="120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0"/>
    <w:next w:val="1201"/>
    <w:link w:val="1070"/>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100"/>
    <w:next w:val="1202"/>
    <w:link w:val="1070"/>
    <w:qFormat/>
    <w:rPr>
      <w:rFonts w:ascii="Tahoma" w:hAnsi="Tahoma"/>
      <w:sz w:val="24"/>
    </w:rPr>
  </w:style>
  <w:style w:type="paragraph" w:styleId="1203">
    <w:name w:val="xl26"/>
    <w:basedOn w:val="1070"/>
    <w:next w:val="120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0"/>
    <w:next w:val="120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0"/>
    <w:next w:val="1205"/>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0"/>
    <w:next w:val="1206"/>
    <w:link w:val="1070"/>
    <w:qFormat/>
    <w:pPr>
      <w:jc w:val="left"/>
    </w:pPr>
    <w:rPr>
      <w:rFonts w:ascii="宋体" w:hAnsi="宋体"/>
      <w:szCs w:val="20"/>
    </w:rPr>
  </w:style>
  <w:style w:type="paragraph" w:styleId="1207">
    <w:name w:val="Char1 Char Char Char1"/>
    <w:basedOn w:val="1070"/>
    <w:next w:val="1207"/>
    <w:link w:val="1070"/>
    <w:qFormat/>
    <w:rPr>
      <w:rFonts w:ascii="Tahoma" w:hAnsi="Tahoma" w:cs="仿宋_GB2312"/>
      <w:sz w:val="24"/>
      <w:szCs w:val="28"/>
    </w:rPr>
  </w:style>
  <w:style w:type="paragraph" w:styleId="1208">
    <w:name w:val="四级条标题"/>
    <w:basedOn w:val="1209"/>
    <w:next w:val="1070"/>
    <w:link w:val="1070"/>
    <w:qFormat/>
    <w:pPr>
      <w:numPr>
        <w:ilvl w:val="4"/>
      </w:numPr>
      <w:ind w:left="0" w:hanging="840"/>
      <w:tabs>
        <w:tab w:val="left" w:pos="360" w:leader="none"/>
        <w:tab w:val="left" w:pos="840" w:leader="none"/>
      </w:tabs>
      <w:outlineLvl w:val="4"/>
    </w:pPr>
  </w:style>
  <w:style w:type="paragraph" w:styleId="1209">
    <w:name w:val="三级条标题"/>
    <w:basedOn w:val="1171"/>
    <w:next w:val="1070"/>
    <w:link w:val="1070"/>
    <w:qFormat/>
    <w:pPr>
      <w:numPr>
        <w:ilvl w:val="3"/>
        <w:numId w:val="1"/>
      </w:numPr>
      <w:ind w:left="0" w:hanging="840"/>
      <w:tabs>
        <w:tab w:val="left" w:pos="360" w:leader="none"/>
        <w:tab w:val="left" w:pos="840" w:leader="none"/>
      </w:tabs>
      <w:outlineLvl w:val="3"/>
    </w:pPr>
  </w:style>
  <w:style w:type="paragraph" w:styleId="1210">
    <w:name w:val="??"/>
    <w:next w:val="1210"/>
    <w:link w:val="1070"/>
    <w:qFormat/>
    <w:pPr>
      <w:jc w:val="both"/>
      <w:widowControl w:val="off"/>
    </w:pPr>
    <w:rPr>
      <w:sz w:val="21"/>
      <w:lang w:val="en-US" w:eastAsia="en-US" w:bidi="ar-SA"/>
    </w:rPr>
  </w:style>
  <w:style w:type="paragraph" w:styleId="1211">
    <w:name w:val="样式 标题 2 + 宋体 五号 行距: 单倍行距"/>
    <w:basedOn w:val="1072"/>
    <w:next w:val="1211"/>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0"/>
    <w:next w:val="1212"/>
    <w:link w:val="1070"/>
    <w:qFormat/>
    <w:pPr>
      <w:ind w:firstLine="420"/>
    </w:pPr>
    <w:rPr>
      <w:rFonts w:ascii="Calibri" w:hAnsi="Calibri"/>
      <w:szCs w:val="22"/>
    </w:rPr>
  </w:style>
  <w:style w:type="paragraph" w:styleId="1213">
    <w:name w:val="项目符号1"/>
    <w:basedOn w:val="1214"/>
    <w:next w:val="1213"/>
    <w:link w:val="1070"/>
    <w:qFormat/>
    <w:pPr>
      <w:ind w:left="-25" w:firstLine="0"/>
    </w:pPr>
  </w:style>
  <w:style w:type="paragraph" w:styleId="1214">
    <w:name w:val="正文文本样式"/>
    <w:basedOn w:val="1070"/>
    <w:next w:val="1214"/>
    <w:link w:val="1070"/>
    <w:qFormat/>
    <w:pPr>
      <w:ind w:firstLine="482"/>
      <w:spacing w:line="360" w:lineRule="auto"/>
    </w:pPr>
    <w:rPr>
      <w:rFonts w:cs="宋体"/>
      <w:sz w:val="24"/>
      <w:szCs w:val="20"/>
    </w:rPr>
  </w:style>
  <w:style w:type="paragraph" w:styleId="1215">
    <w:name w:val="xl27"/>
    <w:basedOn w:val="1070"/>
    <w:next w:val="121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0"/>
    <w:next w:val="1216"/>
    <w:link w:val="1070"/>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0"/>
    <w:link w:val="1070"/>
    <w:qFormat/>
    <w:pPr>
      <w:numPr>
        <w:ilvl w:val="5"/>
      </w:numPr>
      <w:ind w:left="0" w:hanging="840"/>
      <w:tabs>
        <w:tab w:val="left" w:pos="360" w:leader="none"/>
        <w:tab w:val="left" w:pos="840" w:leader="none"/>
      </w:tabs>
      <w:outlineLvl w:val="5"/>
    </w:pPr>
  </w:style>
  <w:style w:type="paragraph" w:styleId="1218">
    <w:name w:val="xl49"/>
    <w:basedOn w:val="1070"/>
    <w:next w:val="121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0"/>
    <w:next w:val="1219"/>
    <w:link w:val="1070"/>
    <w:qFormat/>
    <w:pPr>
      <w:spacing w:before="120" w:after="120" w:line="180" w:lineRule="auto"/>
    </w:pPr>
    <w:rPr>
      <w:rFonts w:ascii="Arial" w:hAnsi="Arial"/>
      <w:szCs w:val="20"/>
    </w:rPr>
  </w:style>
  <w:style w:type="paragraph" w:styleId="1220">
    <w:name w:val="xl33"/>
    <w:basedOn w:val="1070"/>
    <w:next w:val="122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0"/>
    <w:next w:val="122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0"/>
    <w:next w:val="1222"/>
    <w:link w:val="1070"/>
    <w:qFormat/>
    <w:rPr>
      <w:rFonts w:ascii="Tahoma" w:hAnsi="Tahoma"/>
      <w:sz w:val="24"/>
      <w:szCs w:val="20"/>
    </w:rPr>
  </w:style>
  <w:style w:type="paragraph" w:styleId="1223">
    <w:name w:val="xl44"/>
    <w:basedOn w:val="1070"/>
    <w:next w:val="122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0"/>
    <w:next w:val="1224"/>
    <w:link w:val="1070"/>
    <w:qFormat/>
    <w:pPr>
      <w:numPr>
        <w:ilvl w:val="0"/>
        <w:numId w:val="5"/>
      </w:numPr>
      <w:spacing w:before="120"/>
      <w:tabs>
        <w:tab w:val="left" w:pos="360" w:leader="none"/>
      </w:tabs>
    </w:pPr>
    <w:rPr>
      <w:rFonts w:ascii="宋体"/>
      <w:sz w:val="28"/>
      <w:szCs w:val="20"/>
    </w:rPr>
  </w:style>
  <w:style w:type="paragraph" w:styleId="1225">
    <w:name w:val="font9"/>
    <w:basedOn w:val="1070"/>
    <w:next w:val="1225"/>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0"/>
    <w:next w:val="1226"/>
    <w:link w:val="1070"/>
    <w:qFormat/>
    <w:rPr>
      <w:rFonts w:ascii="Tahoma" w:hAnsi="Tahoma"/>
      <w:sz w:val="24"/>
      <w:szCs w:val="20"/>
    </w:rPr>
  </w:style>
  <w:style w:type="paragraph" w:styleId="1227">
    <w:name w:val="Char Char Char Char Char Char Char Char Char Char"/>
    <w:basedOn w:val="1070"/>
    <w:next w:val="1227"/>
    <w:link w:val="1070"/>
    <w:qFormat/>
  </w:style>
  <w:style w:type="paragraph" w:styleId="1228">
    <w:name w:val="Char Char1 Char Char Char Char Char Char Char Char"/>
    <w:basedOn w:val="1070"/>
    <w:next w:val="1228"/>
    <w:link w:val="1070"/>
    <w:qFormat/>
    <w:pPr>
      <w:jc w:val="left"/>
      <w:spacing w:after="160" w:line="240" w:lineRule="exact"/>
      <w:widowControl/>
    </w:pPr>
    <w:rPr>
      <w:rFonts w:ascii="Verdana" w:hAnsi="Verdana"/>
      <w:sz w:val="20"/>
      <w:szCs w:val="20"/>
      <w:lang w:eastAsia="en-US"/>
    </w:rPr>
  </w:style>
  <w:style w:type="paragraph" w:styleId="1229">
    <w:name w:val="Char1"/>
    <w:basedOn w:val="1070"/>
    <w:next w:val="1229"/>
    <w:link w:val="1070"/>
    <w:qFormat/>
    <w:pPr>
      <w:tabs>
        <w:tab w:val="left" w:pos="360" w:leader="none"/>
      </w:tabs>
    </w:pPr>
    <w:rPr>
      <w:sz w:val="24"/>
    </w:rPr>
  </w:style>
  <w:style w:type="paragraph" w:styleId="1230">
    <w:name w:val="正文列项_字母"/>
    <w:basedOn w:val="1070"/>
    <w:next w:val="1230"/>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0"/>
    <w:next w:val="123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0"/>
    <w:next w:val="123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0"/>
    <w:next w:val="1233"/>
    <w:link w:val="1070"/>
    <w:qFormat/>
    <w:rPr>
      <w:rFonts w:ascii="Arial" w:hAnsi="Arial" w:cs="Arial"/>
      <w:szCs w:val="21"/>
    </w:rPr>
  </w:style>
  <w:style w:type="paragraph" w:styleId="1234">
    <w:name w:val="xl4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0"/>
    <w:next w:val="123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0"/>
    <w:next w:val="123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0"/>
    <w:next w:val="1237"/>
    <w:link w:val="1070"/>
    <w:qFormat/>
    <w:rPr>
      <w:rFonts w:ascii="Tahoma" w:hAnsi="Tahoma"/>
      <w:sz w:val="24"/>
      <w:szCs w:val="20"/>
    </w:rPr>
  </w:style>
  <w:style w:type="paragraph" w:styleId="1238">
    <w:name w:val="xl50"/>
    <w:basedOn w:val="1070"/>
    <w:next w:val="123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0"/>
    <w:next w:val="1239"/>
    <w:link w:val="1070"/>
    <w:qFormat/>
    <w:pPr>
      <w:jc w:val="left"/>
    </w:pPr>
    <w:rPr>
      <w:sz w:val="24"/>
    </w:rPr>
  </w:style>
  <w:style w:type="paragraph" w:styleId="1240">
    <w:name w:val="Char Char Char1"/>
    <w:basedOn w:val="1070"/>
    <w:next w:val="1240"/>
    <w:link w:val="1070"/>
    <w:qFormat/>
    <w:rPr>
      <w:rFonts w:ascii="Tahoma" w:hAnsi="Tahoma"/>
      <w:sz w:val="24"/>
      <w:szCs w:val="20"/>
    </w:rPr>
  </w:style>
  <w:style w:type="paragraph" w:styleId="1241">
    <w:name w:val="Char Char Char Char Char Char Char1"/>
    <w:basedOn w:val="1070"/>
    <w:next w:val="1241"/>
    <w:link w:val="1070"/>
    <w:qFormat/>
    <w:pPr>
      <w:ind w:firstLine="200"/>
      <w:spacing w:line="360" w:lineRule="auto"/>
    </w:pPr>
    <w:rPr>
      <w:rFonts w:eastAsia="仿宋_GB2312"/>
      <w:sz w:val="24"/>
    </w:rPr>
  </w:style>
  <w:style w:type="paragraph" w:styleId="1242">
    <w:name w:val="xl51"/>
    <w:basedOn w:val="1070"/>
    <w:next w:val="1242"/>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5"/>
    <w:next w:val="1243"/>
    <w:link w:val="1070"/>
    <w:qFormat/>
    <w:pPr>
      <w:jc w:val="center"/>
      <w:spacing w:line="360" w:lineRule="auto"/>
    </w:pPr>
    <w:rPr>
      <w:sz w:val="24"/>
    </w:rPr>
  </w:style>
  <w:style w:type="paragraph" w:styleId="1244">
    <w:name w:val="xl24"/>
    <w:basedOn w:val="1070"/>
    <w:next w:val="124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0"/>
    <w:next w:val="124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0"/>
    <w:next w:val="1246"/>
    <w:link w:val="1070"/>
    <w:qFormat/>
    <w:pPr>
      <w:jc w:val="left"/>
      <w:widowControl/>
    </w:pPr>
    <w:rPr>
      <w:rFonts w:ascii="楷体_GB2312" w:eastAsia="楷体_GB2312" w:cs="Arial"/>
      <w:sz w:val="24"/>
    </w:rPr>
  </w:style>
  <w:style w:type="paragraph" w:styleId="1247">
    <w:name w:val="xl34"/>
    <w:basedOn w:val="1070"/>
    <w:next w:val="124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0"/>
    <w:next w:val="1248"/>
    <w:link w:val="1070"/>
    <w:qFormat/>
    <w:rPr>
      <w:rFonts w:ascii="Tahoma" w:hAnsi="Tahoma"/>
      <w:sz w:val="24"/>
      <w:szCs w:val="20"/>
    </w:rPr>
  </w:style>
  <w:style w:type="paragraph" w:styleId="1249">
    <w:name w:val="Default"/>
    <w:next w:val="1249"/>
    <w:link w:val="1070"/>
    <w:qFormat/>
    <w:pPr>
      <w:widowControl w:val="off"/>
    </w:pPr>
    <w:rPr>
      <w:rFonts w:ascii="Symbol" w:hAnsi="Symbol" w:cs="Symbol"/>
      <w:color w:val="000000"/>
      <w:sz w:val="24"/>
      <w:szCs w:val="24"/>
      <w:lang w:val="en-US" w:eastAsia="zh-CN" w:bidi="ar-SA"/>
    </w:rPr>
  </w:style>
  <w:style w:type="paragraph" w:styleId="1250">
    <w:name w:val="列出段落1"/>
    <w:basedOn w:val="1070"/>
    <w:next w:val="1250"/>
    <w:link w:val="1070"/>
    <w:qFormat/>
    <w:pPr>
      <w:ind w:firstLine="420"/>
    </w:pPr>
    <w:rPr>
      <w:rFonts w:ascii="Calibri" w:hAnsi="Calibri"/>
      <w:szCs w:val="22"/>
    </w:rPr>
  </w:style>
  <w:style w:type="paragraph" w:styleId="1251">
    <w:name w:val="default"/>
    <w:basedOn w:val="1070"/>
    <w:next w:val="1251"/>
    <w:link w:val="1070"/>
    <w:qFormat/>
    <w:pPr>
      <w:jc w:val="left"/>
      <w:spacing w:before="100" w:beforeAutospacing="1" w:after="100" w:afterAutospacing="1"/>
      <w:widowControl/>
    </w:pPr>
    <w:rPr>
      <w:rFonts w:ascii="宋体" w:hAnsi="宋体" w:cs="宋体"/>
      <w:sz w:val="24"/>
    </w:rPr>
  </w:style>
  <w:style w:type="paragraph" w:styleId="1252">
    <w:name w:val="字元 字元1"/>
    <w:basedOn w:val="1070"/>
    <w:next w:val="1252"/>
    <w:link w:val="1070"/>
    <w:qFormat/>
    <w:rPr>
      <w:rFonts w:ascii="Tahoma" w:hAnsi="Tahoma"/>
      <w:sz w:val="24"/>
      <w:szCs w:val="20"/>
    </w:rPr>
  </w:style>
  <w:style w:type="paragraph" w:styleId="1253">
    <w:name w:val="_Style 160"/>
    <w:next w:val="1253"/>
    <w:link w:val="1070"/>
    <w:qFormat/>
    <w:rPr>
      <w:sz w:val="21"/>
      <w:szCs w:val="24"/>
      <w:lang w:val="en-US" w:eastAsia="zh-CN" w:bidi="ar-SA"/>
    </w:rPr>
  </w:style>
  <w:style w:type="paragraph" w:styleId="1254">
    <w:name w:val="项目编号3"/>
    <w:basedOn w:val="1214"/>
    <w:next w:val="1254"/>
    <w:link w:val="1070"/>
    <w:qFormat/>
    <w:pPr>
      <w:numPr>
        <w:ilvl w:val="0"/>
        <w:numId w:val="6"/>
      </w:numPr>
    </w:pPr>
  </w:style>
  <w:style w:type="paragraph" w:styleId="1255">
    <w:name w:val="Char21"/>
    <w:basedOn w:val="1070"/>
    <w:next w:val="1255"/>
    <w:link w:val="1070"/>
    <w:qFormat/>
    <w:rPr>
      <w:rFonts w:ascii="Tahoma" w:hAnsi="Tahoma"/>
      <w:sz w:val="24"/>
      <w:szCs w:val="20"/>
    </w:rPr>
  </w:style>
  <w:style w:type="paragraph" w:styleId="1256">
    <w:name w:val="表格文字"/>
    <w:basedOn w:val="1083"/>
    <w:next w:val="1256"/>
    <w:link w:val="1070"/>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0"/>
    <w:next w:val="1257"/>
    <w:link w:val="1070"/>
    <w:qFormat/>
    <w:rPr>
      <w:rFonts w:ascii="宋体" w:hAnsi="宋体" w:cs="Courier New"/>
      <w:sz w:val="32"/>
      <w:szCs w:val="32"/>
    </w:rPr>
  </w:style>
  <w:style w:type="paragraph" w:styleId="1258">
    <w:name w:val="正文文本样式 加粗"/>
    <w:basedOn w:val="1214"/>
    <w:next w:val="1258"/>
    <w:link w:val="1070"/>
    <w:qFormat/>
    <w:rPr>
      <w:b/>
    </w:rPr>
  </w:style>
  <w:style w:type="paragraph" w:styleId="1259">
    <w:name w:val="Char2 Char Char Char Char Char Char"/>
    <w:basedOn w:val="1070"/>
    <w:next w:val="1259"/>
    <w:link w:val="1070"/>
    <w:qFormat/>
    <w:pPr>
      <w:jc w:val="center"/>
      <w:spacing w:line="400" w:lineRule="exact"/>
      <w:widowControl/>
    </w:pPr>
  </w:style>
  <w:style w:type="paragraph" w:styleId="1260">
    <w:name w:val="Char Char4"/>
    <w:basedOn w:val="1070"/>
    <w:next w:val="1260"/>
    <w:link w:val="1070"/>
    <w:qFormat/>
    <w:pPr>
      <w:jc w:val="center"/>
      <w:spacing w:line="400" w:lineRule="exact"/>
      <w:widowControl/>
    </w:pPr>
  </w:style>
  <w:style w:type="paragraph" w:styleId="1261">
    <w:name w:val="Char3 Char Char Char1"/>
    <w:basedOn w:val="1070"/>
    <w:next w:val="1261"/>
    <w:link w:val="1070"/>
    <w:qFormat/>
    <w:rPr>
      <w:rFonts w:ascii="Tahoma" w:hAnsi="Tahoma"/>
      <w:sz w:val="24"/>
      <w:szCs w:val="20"/>
    </w:rPr>
  </w:style>
  <w:style w:type="paragraph" w:styleId="1262">
    <w:name w:val="无间隔"/>
    <w:next w:val="1262"/>
    <w:link w:val="1070"/>
    <w:qFormat/>
    <w:pPr>
      <w:jc w:val="both"/>
      <w:widowControl w:val="off"/>
    </w:pPr>
    <w:rPr>
      <w:sz w:val="21"/>
      <w:szCs w:val="24"/>
      <w:lang w:val="en-US" w:eastAsia="zh-CN" w:bidi="ar-SA"/>
    </w:rPr>
  </w:style>
  <w:style w:type="paragraph" w:styleId="1263">
    <w:name w:val="22222222222222"/>
    <w:basedOn w:val="1070"/>
    <w:next w:val="1263"/>
    <w:link w:val="1070"/>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0"/>
    <w:next w:val="1266"/>
    <w:link w:val="1070"/>
    <w:qFormat/>
    <w:pPr>
      <w:spacing w:after="50" w:line="360" w:lineRule="auto"/>
    </w:pPr>
    <w:rPr>
      <w:sz w:val="24"/>
    </w:rPr>
  </w:style>
  <w:style w:type="paragraph" w:styleId="1267">
    <w:name w:val="xl23"/>
    <w:basedOn w:val="1070"/>
    <w:next w:val="1267"/>
    <w:link w:val="1070"/>
    <w:qFormat/>
    <w:pPr>
      <w:spacing w:before="100" w:beforeAutospacing="1" w:after="100" w:afterAutospacing="1" w:line="360" w:lineRule="auto"/>
      <w:widowControl/>
    </w:pPr>
    <w:rPr>
      <w:sz w:val="24"/>
      <w:szCs w:val="20"/>
    </w:rPr>
  </w:style>
  <w:style w:type="paragraph" w:styleId="1268">
    <w:name w:val="正文表格"/>
    <w:basedOn w:val="1070"/>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0"/>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1070"/>
    <w:qFormat/>
    <w:pPr>
      <w:jc w:val="left"/>
    </w:pPr>
    <w:rPr>
      <w:sz w:val="24"/>
      <w:szCs w:val="24"/>
    </w:rPr>
  </w:style>
  <w:style w:type="paragraph" w:styleId="1273">
    <w:name w:val="正文小标题"/>
    <w:basedOn w:val="1070"/>
    <w:next w:val="1089"/>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9"/>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0"/>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0"/>
    <w:next w:val="1070"/>
    <w:link w:val="1070"/>
    <w:qFormat/>
    <w:pPr>
      <w:numPr>
        <w:ilvl w:val="0"/>
        <w:numId w:val="7"/>
      </w:numPr>
      <w:spacing w:line="300" w:lineRule="auto"/>
    </w:pPr>
    <w:rPr>
      <w:rFonts w:ascii="宋体" w:hAnsi="Calibri"/>
      <w:sz w:val="24"/>
      <w:szCs w:val="21"/>
    </w:rPr>
  </w:style>
  <w:style w:type="paragraph" w:styleId="1280">
    <w:name w:val="正文须知-2级"/>
    <w:basedOn w:val="1070"/>
    <w:next w:val="1280"/>
    <w:link w:val="1070"/>
    <w:qFormat/>
    <w:pPr>
      <w:numPr>
        <w:ilvl w:val="1"/>
        <w:numId w:val="7"/>
      </w:numPr>
      <w:spacing w:line="300" w:lineRule="auto"/>
    </w:pPr>
    <w:rPr>
      <w:rFonts w:ascii="宋体" w:hAnsi="Calibri"/>
      <w:sz w:val="24"/>
      <w:szCs w:val="21"/>
    </w:rPr>
  </w:style>
  <w:style w:type="paragraph" w:styleId="1281">
    <w:name w:val="正文须知-3级"/>
    <w:basedOn w:val="1070"/>
    <w:next w:val="1281"/>
    <w:link w:val="1070"/>
    <w:qFormat/>
    <w:pPr>
      <w:numPr>
        <w:ilvl w:val="2"/>
        <w:numId w:val="7"/>
      </w:numPr>
      <w:ind w:hanging="355"/>
      <w:spacing w:line="300" w:lineRule="auto"/>
    </w:pPr>
    <w:rPr>
      <w:rFonts w:ascii="宋体" w:hAnsi="Calibri"/>
      <w:sz w:val="24"/>
      <w:szCs w:val="21"/>
    </w:rPr>
  </w:style>
  <w:style w:type="character" w:styleId="1282">
    <w:name w:val="纯文本 字符"/>
    <w:next w:val="1282"/>
    <w:link w:val="1070"/>
    <w:uiPriority w:val="99"/>
    <w:qFormat/>
    <w:rPr>
      <w:rFonts w:ascii="宋体" w:hAnsi="Courier New" w:eastAsia="宋体" w:cs="Times New Roman"/>
      <w:sz w:val="21"/>
      <w:szCs w:val="21"/>
      <w:lang w:val="en-US" w:eastAsia="zh-CN" w:bidi="ar-SA"/>
    </w:rPr>
  </w:style>
  <w:style w:type="paragraph" w:styleId="1283">
    <w:name w:val="表格1"/>
    <w:basedOn w:val="1070"/>
    <w:next w:val="1283"/>
    <w:link w:val="1070"/>
    <w:qFormat/>
    <w:pPr>
      <w:ind w:firstLine="480"/>
      <w:jc w:val="center"/>
    </w:pPr>
    <w:rPr>
      <w:sz w:val="24"/>
      <w:szCs w:val="20"/>
    </w:rPr>
  </w:style>
  <w:style w:type="character" w:styleId="1284">
    <w:name w:val="纯文本 字符1"/>
    <w:next w:val="1284"/>
    <w:link w:val="1070"/>
    <w:qFormat/>
    <w:rPr>
      <w:rFonts w:ascii="宋体" w:hAnsi="Courier New"/>
    </w:rPr>
  </w:style>
  <w:style w:type="character" w:styleId="1285">
    <w:name w:val="bjh-p"/>
    <w:next w:val="1285"/>
    <w:link w:val="1070"/>
    <w:qFormat/>
  </w:style>
  <w:style w:type="paragraph" w:styleId="1286">
    <w:name w:val="无标题条"/>
    <w:next w:val="1070"/>
    <w:link w:val="1070"/>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0"/>
    <w:next w:val="1288"/>
    <w:link w:val="1287"/>
    <w:qFormat/>
    <w:pPr>
      <w:ind w:firstLine="480"/>
      <w:spacing w:line="360" w:lineRule="auto"/>
    </w:pPr>
    <w:rPr>
      <w:rFonts w:ascii="宋体" w:hAnsi="宋体"/>
      <w:sz w:val="24"/>
      <w:lang w:val="en-GB"/>
    </w:rPr>
  </w:style>
  <w:style w:type="character" w:styleId="1289">
    <w:name w:val="标题 3 Char"/>
    <w:next w:val="1289"/>
    <w:link w:val="1070"/>
    <w:qFormat/>
    <w:rPr>
      <w:rFonts w:ascii="宋体" w:eastAsia="宋体"/>
      <w:b/>
      <w:sz w:val="24"/>
      <w:u w:val="single"/>
      <w:lang w:val="en-US" w:eastAsia="zh-CN" w:bidi="ar-SA"/>
    </w:rPr>
  </w:style>
  <w:style w:type="character" w:styleId="1290">
    <w:name w:val="正文缩进 Char"/>
    <w:next w:val="1290"/>
    <w:link w:val="1070"/>
    <w:qFormat/>
    <w:rPr>
      <w:rFonts w:ascii="宋体" w:eastAsia="宋体"/>
      <w:sz w:val="24"/>
      <w:szCs w:val="24"/>
      <w:lang w:val="en-US" w:eastAsia="zh-CN" w:bidi="ar-SA"/>
    </w:rPr>
  </w:style>
  <w:style w:type="character" w:styleId="1291">
    <w:name w:val="Char Char111"/>
    <w:next w:val="1291"/>
    <w:link w:val="1070"/>
    <w:qFormat/>
    <w:rPr>
      <w:rFonts w:ascii="宋体" w:eastAsia="宋体"/>
      <w:b/>
      <w:sz w:val="24"/>
      <w:u w:val="single"/>
      <w:lang w:val="en-US" w:eastAsia="zh-CN" w:bidi="ar-SA"/>
    </w:rPr>
  </w:style>
  <w:style w:type="character" w:styleId="1292">
    <w:name w:val="正文文本缩进 Char"/>
    <w:next w:val="1292"/>
    <w:link w:val="1070"/>
    <w:qFormat/>
    <w:rPr>
      <w:rFonts w:eastAsia="宋体"/>
      <w:sz w:val="24"/>
      <w:szCs w:val="24"/>
      <w:lang w:val="en-US" w:eastAsia="zh-CN" w:bidi="ar-SA"/>
    </w:rPr>
  </w:style>
  <w:style w:type="character" w:styleId="1293">
    <w:name w:val="列出段落 Char"/>
    <w:next w:val="1293"/>
    <w:link w:val="1070"/>
    <w:qFormat/>
    <w:rPr>
      <w:rFonts w:ascii="Calibri" w:hAnsi="Calibri" w:eastAsia="宋体"/>
      <w:sz w:val="21"/>
      <w:szCs w:val="22"/>
      <w:lang w:val="en-US" w:eastAsia="zh-CN" w:bidi="ar-SA"/>
    </w:rPr>
  </w:style>
  <w:style w:type="character" w:styleId="1294">
    <w:name w:val="页眉 Char"/>
    <w:next w:val="1294"/>
    <w:link w:val="1070"/>
    <w:qFormat/>
    <w:rPr>
      <w:rFonts w:eastAsia="宋体"/>
      <w:sz w:val="18"/>
      <w:szCs w:val="18"/>
      <w:lang w:val="en-US" w:eastAsia="zh-CN" w:bidi="ar-SA"/>
    </w:rPr>
  </w:style>
  <w:style w:type="character" w:styleId="1295">
    <w:name w:val="标题 2 Char"/>
    <w:next w:val="1295"/>
    <w:link w:val="1070"/>
    <w:qFormat/>
    <w:rPr>
      <w:rFonts w:ascii="Arial" w:hAnsi="Arial" w:eastAsia="黑体"/>
      <w:b/>
      <w:sz w:val="30"/>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仿宋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仿宋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6"/>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2022-05-30T08:08:00Z</dcterms:created>
  <dcterms:modified xsi:type="dcterms:W3CDTF">2025-12-26T09:15:22Z</dcterms:modified>
</cp:coreProperties>
</file>